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60035D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31cc08df1e40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31cc08df1e40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