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Big mouth</w:t>
      </w:r>
    </w:p>
    <w:p>
      <w:r>
        <w:drawing>
          <wp:inline distT="0" distB="0" distL="0" distR="0">
            <wp:extent cx="4438650" cy="2952750"/>
            <wp:effectExtent l="19050" t="0" r="0" b="0"/>
            <wp:docPr id="5" name="/ImageGen.ashx?image=/media/377128/big-mouth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7128/big-mouth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f8074ad9382647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Radio &amp; gereedschapstas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Gemakkelijke brede boven-opening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Blijft altijd rechtop staan, ook open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Heavy Duty professionele kwaliteit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Dubbelwandig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Ideaal voor uw compacte werkradio en gereedschap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Passend voor alle radio’s behalve voor ROCKBULL, ROCKHART en ROCKHART BT</w:t>
      </w:r>
    </w:p>
    <w:p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f8074ad938264717" /><Relationship Type="http://schemas.openxmlformats.org/officeDocument/2006/relationships/numbering" Target="/word/numbering.xml" Id="Re97cbc92cae84b33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