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Slim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0/slim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0/slim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988838833a843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90725"/>
            <wp:effectExtent l="19050" t="0" r="0" b="0"/>
            <wp:docPr id="6" name="/media/350991/slim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1/slim2.jpg" descr="Slim2"/>
                    <pic:cNvPicPr>
                      <a:picLocks noChangeAspect="1" noChangeArrowheads="1"/>
                    </pic:cNvPicPr>
                  </pic:nvPicPr>
                  <pic:blipFill>
                    <a:blip r:embed="Rb041f90ee65f41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 voorkeuze-zenders FM en DAB+</w:t>
      </w:r>
    </w:p>
    <w:p>
      <w:r>
        <w:rPr>
          <w:color w:val="4B4B4B"/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 inch Neodymium speaker - 7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1,4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r>
        <w:rPr>
          <w:color w:val="4B4B4B"/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 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r>
        <w:rPr>
          <w:color w:val="4B4B4B"/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Display verlichting instelbaar</w:t>
      </w:r>
    </w:p>
    <w:p>
      <w:r>
        <w:rPr>
          <w:color w:val="4B4B4B"/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1,8 meter met IP44 stekker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Stekkerhouder 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Handgreep 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TDAB3)</w:t>
      </w:r>
    </w:p>
    <w:p>
      <w:r>
        <w:rPr>
          <w:color w:val="4B4B4B"/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1,7 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11 x 24 x 17 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antraciet </w:t>
      </w:r>
    </w:p>
    <w:p>
      <w:r>
        <w:rPr>
          <w:color w:val="4B4B4B"/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 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Tube Pack - Radio tas</w:t>
      </w:r>
    </w:p>
    <w:p>
      <w:r>
        <w:rPr>
          <w:color w:val="4B4B4B"/>
        </w:rPr>
        <w:t xml:space="preserve"> * Een goede werking en beschikbaarheid van deze functies is mede afhankelijk van het type en de software van de gebruikte mobiele telefoon.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988838833a84366" /><Relationship Type="http://schemas.openxmlformats.org/officeDocument/2006/relationships/image" Target="/media/image4.jpg" Id="Rb041f90ee65f41e7" /><Relationship Type="http://schemas.openxmlformats.org/officeDocument/2006/relationships/numbering" Target="/word/numbering.xml" Id="Rbc9fefe19bcc44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