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OTKJ 18/32</w:t>
      </w:r>
    </w:p>
    <w:p>
      <w:r>
        <w:drawing>
          <wp:inline distT="0" distB="0" distL="0" distR="0">
            <wp:extent cx="2952750" cy="2952750"/>
            <wp:effectExtent l="19050" t="0" r="0" b="0"/>
            <wp:docPr id="5" name="/ImageGen.ashx?image=/media/377138/sgr-519-0116-sl.png&amp;Height=310&amp;Text=&amp;Align=center&amp;FontSize=7" descr=""/>
            <wp:cNvGraphicFramePr>
              <a:graphicFrameLocks noChangeAspect="1"/>
            </wp:cNvGraphicFramePr>
            <a:graphic>
              <a:graphicData uri="http://schemas.openxmlformats.org/drawingml/2006/picture">
                <pic:pic>
                  <pic:nvPicPr>
                    <pic:cNvPr id="2" name="/ImageGen.ashx?image=/media/377138/sgr-519-0116-sl.png&amp;Height=310&amp;Text=&amp;Align=center&amp;FontSize=7" descr=""/>
                    <pic:cNvPicPr>
                      <a:picLocks noChangeAspect="1" noChangeArrowheads="1"/>
                    </pic:cNvPicPr>
                  </pic:nvPicPr>
                  <pic:blipFill>
                    <a:blip r:embed="R973ea168b4194b10"/>
                    <a:srcRect/>
                    <a:stretch>
                      <a:fillRect/>
                    </a:stretch>
                  </pic:blipFill>
                  <pic:spPr bwMode="auto">
                    <a:xfrm>
                      <a:off x="0" y="0"/>
                      <a:ext cx="2952750" cy="2952750"/>
                    </a:xfrm>
                    <a:prstGeom prst="rect">
                      <a:avLst/>
                    </a:prstGeom>
                  </pic:spPr>
                </pic:pic>
              </a:graphicData>
            </a:graphic>
          </wp:inline>
        </w:drawing>
      </w:r>
    </w:p>
    <w:p>
      <w:r>
        <w:rPr>
          <w:b/>
        </w:rPr>
        <w:t xml:space="preserve">OTKJ 18/32</w:t>
      </w:r>
    </w:p>
    <w:p>
      <w:r>
        <w:br/>
      </w:r>
      <w:r>
        <w:br/>
      </w:r>
    </w:p>
    <w:p>
      <w:pPr>
        <w:pStyle w:val="heading 3"/>
      </w:pPr>
      <w:r>
        <w:t xml:space="preserve">Uitvoering</w:t>
      </w:r>
    </w:p>
    <w:p>
      <w:r>
        <w:t xml:space="preserve">Starlock HCS invalzaagblad Hardhout</w:t>
      </w:r>
    </w:p>
    <w:p>
      <w:pPr>
        <w:pStyle w:val="heading 3"/>
      </w:pPr>
      <w:r>
        <w:t xml:space="preserve">Toepassing</w:t>
      </w:r>
    </w:p>
    <w:p>
      <w:r>
        <w:t xml:space="preserve">Precies invallend zagen in hardhout (bijv. voor de inbouw van een display). Precieze uitsparingen in meubelelement zagen (bijv. om toegang tot stopcontacten mogelijk te maken). Zagen van houten panelen (bijv. voor de inbouw van vakvensters)</w:t>
      </w:r>
    </w:p>
    <w:p>
      <w:r>
        <w:br/>
      </w:r>
      <w:r>
        <w:br/>
      </w:r>
      <w:r>
        <w:br/>
      </w:r>
      <w:r>
        <w:br/>
      </w:r>
      <w:r>
        <w:br/>
      </w:r>
      <w:r>
        <w:br/>
      </w:r>
      <w:r>
        <w:br/>
      </w:r>
      <w:r>
        <w:br/>
      </w:r>
      <w:r>
        <w:br/>
      </w:r>
      <w:r>
        <w:br/>
      </w:r>
      <w:r>
        <w:br/>
      </w:r>
    </w:p>
    <w:tbl>
      <w:tblPr>
        <w:tblW w:w="auto" w:type="pct"/>
        <w:tblStyle w:val=""/>
      </w:tblPr>
      <w:tblGrid>
        <w:gridCol/>
        <w:gridCol/>
        <w:gridCol/>
        <w:gridCol/>
        <w:gridCol/>
      </w:tblGrid>
      <w:tr>
        <w:trPr>
          <w:rStyle w:val="Koptekst"/>
        </w:trPr>
        <w:tc>
          <w:tcPr>
            <w:rStyle w:val="Koptekst"/>
          </w:tcPr>
          <w:p>
            <w:r>
              <w:rPr>
                <w:rStyle w:val="Koptekst"/>
              </w:rPr>
              <w:t xml:space="preserve">Art.nr.</w:t>
            </w:r>
          </w:p>
        </w:tc>
        <w:tc>
          <w:tcPr>
            <w:rStyle w:val="Koptekst"/>
          </w:tcPr>
          <w:p>
            <w:r>
              <w:rPr>
                <w:rStyle w:val="Koptekst"/>
              </w:rPr>
              <w:t xml:space="preserve"> </w:t>
            </w:r>
          </w:p>
        </w:tc>
        <w:tc>
          <w:tcPr>
            <w:rStyle w:val="Koptekst"/>
          </w:tcPr>
          <w:p>
            <w:r>
              <w:rPr>
                <w:rStyle w:val="Koptekst"/>
              </w:rPr>
              <w:t xml:space="preserve">Type</w:t>
            </w:r>
          </w:p>
        </w:tc>
        <w:tc>
          <w:tcPr>
            <w:rStyle w:val="Koptekst"/>
          </w:tcPr>
          <w:p>
            <w:r>
              <w:rPr>
                <w:rStyle w:val="Koptekst"/>
              </w:rPr>
              <w:t xml:space="preserve">Bosch</w:t>
            </w:r>
          </w:p>
        </w:tc>
        <w:tc>
          <w:tcPr>
            <w:rStyle w:val="Koptekst"/>
          </w:tcPr>
          <w:p>
            <w:r>
              <w:rPr>
                <w:rStyle w:val="Koptekst"/>
              </w:rPr>
              <w:t xml:space="preserve">V.E.</w:t>
            </w:r>
          </w:p>
        </w:tc>
      </w:tr>
      <w:tr>
        <w:tc>
          <w:tcPr/>
          <w:p>
            <w:r>
              <w:t xml:space="preserve">519.0116</w:t>
            </w:r>
          </w:p>
        </w:tc>
        <w:tc>
          <w:tcPr/>
          <w:p>
            <w:r>
              <w:t xml:space="preserve"> </w:t>
            </w:r>
          </w:p>
        </w:tc>
        <w:tc>
          <w:tcPr/>
          <w:p>
            <w:r>
              <w:t xml:space="preserve">OTKJ 18/32 [1x]     </w:t>
            </w:r>
          </w:p>
        </w:tc>
        <w:tc>
          <w:tcPr/>
          <w:p>
            <w:r>
              <w:t xml:space="preserve">AIZ 32 BSPC     </w:t>
            </w:r>
          </w:p>
        </w:tc>
        <w:tc>
          <w:tcPr/>
          <w:p>
            <w:r>
              <w:t xml:space="preserve">1</w:t>
            </w:r>
          </w:p>
        </w:tc>
      </w:tr>
      <w:tr>
        <w:tc>
          <w:tcPr/>
          <w:p>
            <w:r>
              <w:t xml:space="preserve">519.0117</w:t>
            </w:r>
          </w:p>
        </w:tc>
        <w:tc>
          <w:tcPr/>
          <w:p>
            <w:r>
              <w:t xml:space="preserve"> </w:t>
            </w:r>
          </w:p>
        </w:tc>
        <w:tc>
          <w:tcPr/>
          <w:p>
            <w:r>
              <w:t xml:space="preserve">OTKJ 18/32 [5x]</w:t>
            </w:r>
          </w:p>
        </w:tc>
        <w:tc>
          <w:tcPr/>
          <w:p>
            <w:r>
              <w:t xml:space="preserve">AIZ 32 BSPC</w:t>
            </w:r>
          </w:p>
        </w:tc>
        <w:tc>
          <w:tcPr/>
          <w:p>
            <w:r>
              <w:t xml:space="preserve">5</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973ea168b4194b10"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