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Fento 200 Pro</w:t>
      </w:r>
    </w:p>
    <w:p>
      <w:r>
        <w:drawing>
          <wp:inline distT="0" distB="0" distL="0" distR="0">
            <wp:extent cx="3933824" cy="2952750"/>
            <wp:effectExtent l="19050" t="0" r="0" b="0"/>
            <wp:docPr id="5" name="/ImageGen.ashx?image=/media/324600/kniebeschermer-fento-200-pro.jpg&amp;Height=310&amp;Text=&amp;Align=center&amp;FontSize=7" descr=""/>
            <wp:cNvGraphicFramePr>
              <a:graphicFrameLocks noChangeAspect="1"/>
            </wp:cNvGraphicFramePr>
            <a:graphic>
              <a:graphicData uri="http://schemas.openxmlformats.org/drawingml/2006/picture">
                <pic:pic>
                  <pic:nvPicPr>
                    <pic:cNvPr id="2" name="/ImageGen.ashx?image=/media/324600/kniebeschermer-fento-200-pro.jpg&amp;Height=310&amp;Text=&amp;Align=center&amp;FontSize=7" descr=""/>
                    <pic:cNvPicPr>
                      <a:picLocks noChangeAspect="1" noChangeArrowheads="1"/>
                    </pic:cNvPicPr>
                  </pic:nvPicPr>
                  <pic:blipFill>
                    <a:blip r:embed="R4e1e0b9ec1c74db1"/>
                    <a:srcRect/>
                    <a:stretch>
                      <a:fillRect/>
                    </a:stretch>
                  </pic:blipFill>
                  <pic:spPr bwMode="auto">
                    <a:xfrm>
                      <a:off x="0" y="0"/>
                      <a:ext cx="3933824" cy="2952750"/>
                    </a:xfrm>
                    <a:prstGeom prst="rect">
                      <a:avLst/>
                    </a:prstGeom>
                  </pic:spPr>
                </pic:pic>
              </a:graphicData>
            </a:graphic>
          </wp:inline>
        </w:drawing>
      </w:r>
    </w:p>
    <w:p>
      <w:r>
        <w:t xml:space="preserve">FENTO laat zich inspireren door ervaringen van eindgebruikers. De afgelopen jaren hebben we dit omgezet in productverbeteringen. De nieuwe FENTO 200 Pro is hierdoor nog comfortabeler en slijtvaster geworden. De ademende inlay is nu ook vervangbaar.</w:t>
      </w:r>
    </w:p>
    <w:p>
      <w:pPr>
        <w:pStyle w:val="ListParagraph"/>
        <w:spacing w:after="0"/>
        <w:ind w:left="0" w:hanging="357"/>
        <w:numPr>
          <w:ilvl w:val="0"/>
          <w:numId w:val="2"/>
        </w:numPr>
      </w:pPr>
      <w:r>
        <w:t xml:space="preserve">100% Comfort</w:t>
      </w:r>
    </w:p>
    <w:p>
      <w:pPr>
        <w:pStyle w:val="ListParagraph"/>
        <w:spacing w:after="0"/>
        <w:ind w:left="0" w:hanging="357"/>
        <w:numPr>
          <w:ilvl w:val="0"/>
          <w:numId w:val="2"/>
        </w:numPr>
      </w:pPr>
      <w:r>
        <w:t xml:space="preserve">Duurzaam en zeer slijtvast</w:t>
      </w:r>
    </w:p>
    <w:p>
      <w:pPr>
        <w:pStyle w:val="ListParagraph"/>
        <w:spacing w:after="0"/>
        <w:ind w:left="0" w:hanging="357"/>
        <w:numPr>
          <w:ilvl w:val="0"/>
          <w:numId w:val="2"/>
        </w:numPr>
      </w:pPr>
      <w:r>
        <w:t xml:space="preserve">Inlay vervangbaar</w:t>
      </w:r>
    </w:p>
    <w:p>
      <w:pPr>
        <w:pStyle w:val="ListParagraph"/>
        <w:spacing w:after="0"/>
        <w:ind w:left="0" w:hanging="357"/>
        <w:numPr>
          <w:ilvl w:val="0"/>
          <w:numId w:val="2"/>
        </w:numPr>
      </w:pPr>
      <w:r>
        <w:t xml:space="preserve">Mede ontworpen door medisch specialisten</w:t>
      </w:r>
    </w:p>
    <w:p>
      <w:pPr>
        <w:pStyle w:val="ListParagraph"/>
        <w:spacing w:after="0"/>
        <w:ind w:left="0" w:hanging="357"/>
        <w:numPr>
          <w:ilvl w:val="0"/>
          <w:numId w:val="2"/>
        </w:numPr>
      </w:pPr>
      <w:r>
        <w:t xml:space="preserve">Voorkomt knie- en rugklachten door drukverdeling</w:t>
      </w:r>
    </w:p>
    <w:p>
      <w:pPr>
        <w:pStyle w:val="ListParagraph"/>
        <w:spacing w:after="0"/>
        <w:ind w:left="0" w:hanging="357"/>
        <w:numPr>
          <w:ilvl w:val="0"/>
          <w:numId w:val="2"/>
        </w:numPr>
      </w:pPr>
      <w:r>
        <w:t xml:space="preserve">Perfecte pasvorm</w:t>
      </w:r>
    </w:p>
    <w:p>
      <w:pPr>
        <w:pStyle w:val="ListParagraph"/>
        <w:spacing w:after="0"/>
        <w:ind w:left="0" w:hanging="357"/>
        <w:numPr>
          <w:ilvl w:val="0"/>
          <w:numId w:val="2"/>
        </w:numPr>
      </w:pPr>
      <w:r>
        <w:t xml:space="preserve">Elastieken band knelt niet in knieholte</w:t>
      </w:r>
    </w:p>
    <w:p>
      <w:pPr>
        <w:pStyle w:val="ListParagraph"/>
        <w:spacing w:after="0"/>
        <w:ind w:left="0" w:hanging="357"/>
        <w:numPr>
          <w:ilvl w:val="0"/>
          <w:numId w:val="2"/>
        </w:numPr>
      </w:pPr>
      <w:r>
        <w:t xml:space="preserve">Binnenzijde ademend</w:t>
      </w:r>
    </w:p>
    <w:p>
      <w:pPr>
        <w:pStyle w:val="ListParagraph"/>
        <w:spacing w:after="0"/>
        <w:ind w:left="0" w:hanging="357"/>
        <w:numPr>
          <w:ilvl w:val="0"/>
          <w:numId w:val="2"/>
        </w:numPr>
      </w:pPr>
      <w:r>
        <w:t xml:space="preserve">Lichtgewicht: 250 gram</w:t>
      </w:r>
    </w:p>
    <w:p>
      <w:pPr>
        <w:pStyle w:val="ListParagraph"/>
        <w:spacing w:after="0"/>
        <w:ind w:left="0" w:hanging="357"/>
        <w:numPr>
          <w:ilvl w:val="0"/>
          <w:numId w:val="2"/>
        </w:numPr>
      </w:pPr>
      <w:r>
        <w:t xml:space="preserve">Flexibel en 100% waterdicht</w:t>
      </w:r>
    </w:p>
    <w:p>
      <w:pPr>
        <w:pStyle w:val="ListParagraph"/>
        <w:spacing w:after="0"/>
        <w:ind w:left="0" w:hanging="357"/>
        <w:numPr>
          <w:ilvl w:val="0"/>
          <w:numId w:val="2"/>
        </w:numPr>
      </w:pPr>
      <w:r>
        <w:t xml:space="preserve">Aanbevolen door arbo-artsen en fysiotherapeuten</w:t>
      </w:r>
    </w:p>
    <w:p>
      <w:r>
        <w:drawing>
          <wp:inline distT="0" distB="0" distL="0" distR="0">
            <wp:extent cx="2857500" cy="1285875"/>
            <wp:effectExtent l="19050" t="0" r="0" b="0"/>
            <wp:docPr id="6" name="/media/191040/fento-2001_300x135.jpg" descr=""/>
            <wp:cNvGraphicFramePr>
              <a:graphicFrameLocks noChangeAspect="1"/>
            </wp:cNvGraphicFramePr>
            <a:graphic>
              <a:graphicData uri="http://schemas.openxmlformats.org/drawingml/2006/picture">
                <pic:pic>
                  <pic:nvPicPr>
                    <pic:cNvPr id="3" name="/media/191040/fento-2001_300x135.jpg" descr="Fento 200.1"/>
                    <pic:cNvPicPr>
                      <a:picLocks noChangeAspect="1" noChangeArrowheads="1"/>
                    </pic:cNvPicPr>
                  </pic:nvPicPr>
                  <pic:blipFill>
                    <a:blip r:embed="R72ad204727404e69"/>
                    <a:srcRect/>
                    <a:stretch>
                      <a:fillRect/>
                    </a:stretch>
                  </pic:blipFill>
                  <pic:spPr bwMode="auto">
                    <a:xfrm>
                      <a:off x="0" y="0"/>
                      <a:ext cx="2857500" cy="1285875"/>
                    </a:xfrm>
                    <a:prstGeom prst="rect">
                      <a:avLst/>
                    </a:prstGeom>
                  </pic:spPr>
                </pic:pic>
              </a:graphicData>
            </a:graphic>
          </wp:inline>
        </w:drawing>
      </w:r>
      <w:r>
        <w:t xml:space="preserve"> </w:t>
      </w:r>
      <w:r>
        <w:drawing>
          <wp:inline distT="0" distB="0" distL="0" distR="0">
            <wp:extent cx="2857500" cy="1285875"/>
            <wp:effectExtent l="19050" t="0" r="0" b="0"/>
            <wp:docPr id="7" name="/media/191041/fento-2002_300x135.jpg" descr=""/>
            <wp:cNvGraphicFramePr>
              <a:graphicFrameLocks noChangeAspect="1"/>
            </wp:cNvGraphicFramePr>
            <a:graphic>
              <a:graphicData uri="http://schemas.openxmlformats.org/drawingml/2006/picture">
                <pic:pic>
                  <pic:nvPicPr>
                    <pic:cNvPr id="4" name="/media/191041/fento-2002_300x135.jpg" descr="Fento 200.2"/>
                    <pic:cNvPicPr>
                      <a:picLocks noChangeAspect="1" noChangeArrowheads="1"/>
                    </pic:cNvPicPr>
                  </pic:nvPicPr>
                  <pic:blipFill>
                    <a:blip r:embed="Rbf8263afbd42414d"/>
                    <a:srcRect/>
                    <a:stretch>
                      <a:fillRect/>
                    </a:stretch>
                  </pic:blipFill>
                  <pic:spPr bwMode="auto">
                    <a:xfrm>
                      <a:off x="0" y="0"/>
                      <a:ext cx="2857500" cy="1285875"/>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4e1e0b9ec1c74db1" /><Relationship Type="http://schemas.openxmlformats.org/officeDocument/2006/relationships/numbering" Target="/word/numbering.xml" Id="Raaf5bfe447a0427d" /><Relationship Type="http://schemas.openxmlformats.org/officeDocument/2006/relationships/image" Target="/media/image4.jpg" Id="R72ad204727404e69" /><Relationship Type="http://schemas.openxmlformats.org/officeDocument/2006/relationships/image" Target="/media/image5.jpg" Id="Rbf8263afbd42414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