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1510282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09/1510282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09/1510282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1de74b604a0493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zelfklevende opname -harde uitvoering bevat geen rubberen laag. Een standaard klittenband laag direct op de ondergrond zorgt voor een gelijkmatig schuurbeeld.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1510282</w:t>
            </w:r>
          </w:p>
        </w:tc>
        <w:tc>
          <w:tcPr/>
          <w:p>
            <w:r>
              <w:t xml:space="preserve">Haft-Gummiteller / D 100 mm / M 14</w:t>
            </w:r>
          </w:p>
        </w:tc>
        <w:tc>
          <w:tcPr/>
          <w:p>
            <w:r>
              <w:t xml:space="preserve">Klett / harte Ausführung</w:t>
            </w:r>
          </w:p>
        </w:tc>
      </w:tr>
      <w:tr>
        <w:tc>
          <w:tcPr/>
          <w:p>
            <w:r>
              <w:t xml:space="preserve">1510283</w:t>
            </w:r>
          </w:p>
        </w:tc>
        <w:tc>
          <w:tcPr/>
          <w:p>
            <w:r>
              <w:t xml:space="preserve">Haft-Gummiteller / D 115 mm / M 14</w:t>
            </w:r>
          </w:p>
        </w:tc>
        <w:tc>
          <w:tcPr/>
          <w:p>
            <w:r>
              <w:t xml:space="preserve">Klett / harte Ausführung</w:t>
            </w:r>
          </w:p>
        </w:tc>
      </w:tr>
      <w:tr>
        <w:tc>
          <w:tcPr/>
          <w:p>
            <w:r>
              <w:t xml:space="preserve">1510285</w:t>
            </w:r>
          </w:p>
        </w:tc>
        <w:tc>
          <w:tcPr/>
          <w:p>
            <w:r>
              <w:t xml:space="preserve">Haft-Gummiteller / D 120 mm / M 14</w:t>
            </w:r>
          </w:p>
        </w:tc>
        <w:tc>
          <w:tcPr/>
          <w:p>
            <w:r>
              <w:t xml:space="preserve">Klett / harte Ausführung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1de74b604a0493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