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Platenlegger FXH-25</w:t>
      </w:r>
    </w:p>
    <w:p>
      <w:r>
        <w:drawing>
          <wp:inline distT="0" distB="0" distL="0" distR="0">
            <wp:extent cx="3562350" cy="2952750"/>
            <wp:effectExtent l="19050" t="0" r="0" b="0"/>
            <wp:docPr id="5" name="/ImageGen.ashx?image=/media/397563/fxh-2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563/fxh-2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d5b74bcb58b48c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Leg nu grote tegels of natuurstenen platen nauwkeurig en snel!</w:t>
      </w:r>
    </w:p>
    <w:p>
      <w:r>
        <w:br/>
      </w:r>
    </w:p>
    <w:p>
      <w:r>
        <w:br/>
      </w:r>
      <w:r>
        <w:t xml:space="preserve">De nieuwe platenlegger PROBST FXH-25 Flieguan-Handy vacuümaccessoire is een perfect hulpmiddel voor tegelzetters en groenvoorzieners. Het werkt eenvoudig en snel voor het plaatsen, verplaatsen en leggen van keramische tegels, natuursteen en platen met één hand.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De aluminium aanzuigplaat heeft een gewicht van minder dan 1 kg, en kan worden aangsloten op een gemakkelijk verkrijgbare industriële stofzuiger met de bijgeleverde konusaansluiting. Dankzij de bijgeleverde 5 meter zuigslang kan de stofzuiger op één plaats blijven staan en hoeft niet te worden verplaatst.</w:t>
            </w:r>
          </w:p>
          <w:p>
            <w:r>
              <w:t xml:space="preserve">Door een lichte vingerbeweging, wordt een vacuümklep geopend om de tegel te plaatsen.</w:t>
            </w:r>
          </w:p>
        </w:tc>
        <w:tc>
          <w:tcPr/>
          <w:p>
            <w:r>
              <w:drawing>
                <wp:inline distT="0" distB="0" distL="0" distR="0">
                  <wp:extent cx="3333750" cy="2828925"/>
                  <wp:effectExtent l="19050" t="0" r="0" b="0"/>
                  <wp:docPr id="6" name="/media/397562/csm_probst-5_flieguan-handy_fxh-25_hp_9071-031_63b5dd6b06_350x297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/media/397562/csm_probst-5_flieguan-handy_fxh-25_hp_9071-031_63b5dd6b06_350x297.jpg" descr="Csm _probst -5_flieguan -handy _fxh -25_hp _9071-031_63b 5dd 6b 06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9914adf9a414b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82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tbl>
      <w:tblPr>
        <w:tblW w:w="10470" w:type="dxa"/>
        <w:tblCellSpacing w:w="0" w:type="dxa"/>
        <w:tblInd w:w="0" w:type="dxa"/>
      </w:tblPr>
      <w:tblGrid>
        <w:gridCol/>
        <w:gridCol/>
      </w:tblGrid>
      <w:tr>
        <w:tc>
          <w:tcPr>
            <w:shd w:val="clear" w:color="auto" w:fill="FF6600"/>
            <w:vAlign w:val="center"/>
          </w:tcPr>
          <w:p>
            <w:r>
              <w:rPr>
                <w:color w:val="FFFFFF"/>
              </w:rPr>
              <w:t xml:space="preserve"> Specificaties</w:t>
            </w:r>
          </w:p>
        </w:tc>
        <w:tc>
          <w:tcPr>
            <w:shd w:val="clear" w:color="auto" w:fill="FF6600"/>
            <w:vAlign w:val="center"/>
          </w:tcPr>
          <w:p>
            <w:r>
              <w:rPr>
                <w:color w:val="FFFFFF"/>
              </w:rPr>
              <w:t xml:space="preserve">FXH-25 Flieguan-Handy</w:t>
            </w:r>
          </w:p>
        </w:tc>
      </w:tr>
      <w:tr>
        <w:tc>
          <w:tcPr>
            <w:shd w:val="clear" w:color="auto" w:fill="FFFFFF"/>
            <w:vAlign w:val="center"/>
            <w:vAlign w:val="top"/>
          </w:tcPr>
          <w:p>
            <w:r>
              <w:t xml:space="preserve">Maximale draagkracht</w:t>
            </w:r>
          </w:p>
        </w:tc>
        <w:tc>
          <w:tcPr>
            <w:shd w:val="clear" w:color="auto" w:fill="FFFFFF"/>
            <w:vAlign w:val="center"/>
            <w:vAlign w:val="top"/>
          </w:tcPr>
          <w:p>
            <w:r>
              <w:t xml:space="preserve">25 kg</w:t>
            </w:r>
          </w:p>
        </w:tc>
      </w:tr>
      <w:tr>
        <w:tc>
          <w:tcPr>
            <w:shd w:val="clear" w:color="auto" w:fill="E5E5E5"/>
            <w:vAlign w:val="center"/>
            <w:vAlign w:val="top"/>
          </w:tcPr>
          <w:p>
            <w:r>
              <w:t xml:space="preserve">Eigengewicht</w:t>
            </w:r>
          </w:p>
        </w:tc>
        <w:tc>
          <w:tcPr>
            <w:shd w:val="clear" w:color="auto" w:fill="E5E5E5"/>
            <w:vAlign w:val="center"/>
            <w:vAlign w:val="top"/>
          </w:tcPr>
          <w:p>
            <w:r>
              <w:t xml:space="preserve">0,85</w:t>
            </w:r>
          </w:p>
        </w:tc>
      </w:tr>
      <w:tr>
        <w:tc>
          <w:tcPr>
            <w:shd w:val="clear" w:color="auto" w:fill="FFFFFF"/>
            <w:vAlign w:val="center"/>
            <w:vAlign w:val="top"/>
          </w:tcPr>
          <w:p>
            <w:r>
              <w:t xml:space="preserve">Aandrijving</w:t>
            </w:r>
          </w:p>
        </w:tc>
        <w:tc>
          <w:tcPr>
            <w:shd w:val="clear" w:color="auto" w:fill="FFFFFF"/>
            <w:vAlign w:val="center"/>
            <w:vAlign w:val="top"/>
          </w:tcPr>
          <w:p>
            <w:r>
              <w:t xml:space="preserve">Stofzuiger</w:t>
            </w:r>
          </w:p>
        </w:tc>
      </w:tr>
      <w:tr>
        <w:tc>
          <w:tcPr>
            <w:shd w:val="clear" w:color="auto" w:fill="E5E5E5"/>
            <w:vAlign w:val="center"/>
          </w:tcPr>
          <w:p>
            <w:r>
              <w:t xml:space="preserve">Artikelnummer</w:t>
            </w:r>
          </w:p>
        </w:tc>
        <w:tc>
          <w:tcPr>
            <w:shd w:val="clear" w:color="auto" w:fill="E5E5E5"/>
            <w:vAlign w:val="center"/>
          </w:tcPr>
          <w:p>
            <w:r>
              <w:t xml:space="preserve">700050100</w:t>
            </w:r>
          </w:p>
        </w:tc>
      </w:tr>
    </w:tbl>
    <w:p>
      <w:r>
        <w:t xml:space="preserve">Voordelen: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Schone manier van het leggen van grote tegels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Gemakkelijker plaatsen, vooral bij de laatste plaat omdat de zijkanten niet beetgepakt worden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Tegels aan een muurzijde zijn gemakkelijker met de hand te leggen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Eenvoudiger positioneren van een tegel, zoals bijvoorbeeld een correctie bij het leggen in lijm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Risico op randschade lager omdat er beter zicht is op het werk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Industrieële stofzuiger voor het benodigde vacuüm heeft bijna elke tegelzetter op locatie</w:t>
      </w:r>
    </w:p>
    <w:p>
      <w:r>
        <w:drawing>
          <wp:inline distT="0" distB="0" distL="0" distR="0">
            <wp:extent cx="3333750" cy="2571750"/>
            <wp:effectExtent l="19050" t="0" r="0" b="0"/>
            <wp:docPr id="7" name="/media/397560/probst_fxh-25_03_350x27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/media/397560/probst_fxh-25_03_350x270.jpg" descr="Probst _fxh -25_03"/>
                    <pic:cNvPicPr>
                      <a:picLocks noChangeAspect="1" noChangeArrowheads="1"/>
                    </pic:cNvPicPr>
                  </pic:nvPicPr>
                  <pic:blipFill>
                    <a:blip r:embed="R88981aac88f7495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3333750" cy="2419350"/>
            <wp:effectExtent l="19050" t="0" r="0" b="0"/>
            <wp:docPr id="8" name="/media/397561/probst_fxh-25_04_350x254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" name="/media/397561/probst_fxh-25_04_350x254.jpg" descr="Probst _fxh -25_04"/>
                    <pic:cNvPicPr>
                      <a:picLocks noChangeAspect="1" noChangeArrowheads="1"/>
                    </pic:cNvPicPr>
                  </pic:nvPicPr>
                  <pic:blipFill>
                    <a:blip r:embed="R771a1f5268de47b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d5b74bcb58b48cf" /><Relationship Type="http://schemas.openxmlformats.org/officeDocument/2006/relationships/image" Target="/media/image4.jpg" Id="R59914adf9a414b88" /><Relationship Type="http://schemas.openxmlformats.org/officeDocument/2006/relationships/numbering" Target="/word/numbering.xml" Id="R92373ce1b8584c00" /><Relationship Type="http://schemas.openxmlformats.org/officeDocument/2006/relationships/image" Target="/media/image5.jpg" Id="R88981aac88f7495f" /><Relationship Type="http://schemas.openxmlformats.org/officeDocument/2006/relationships/image" Target="/media/image6.jpg" Id="R771a1f5268de47b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