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Pompzuigheffer</w:t>
      </w:r>
    </w:p>
    <w:p>
      <w:r>
        <w:drawing>
          <wp:inline distT="0" distB="0" distL="0" distR="0">
            <wp:extent cx="3228975" cy="2952750"/>
            <wp:effectExtent l="19050" t="0" r="0" b="0"/>
            <wp:docPr id="5" name="/ImageGen.ashx?image=/media/18063/BO_601.png&amp;Height=310&amp;Text=&amp;Align=center&amp;FontSize=7" descr=""/>
            <wp:cNvGraphicFramePr>
              <a:graphicFrameLocks noChangeAspect="1"/>
            </wp:cNvGraphicFramePr>
            <a:graphic>
              <a:graphicData uri="http://schemas.openxmlformats.org/drawingml/2006/picture">
                <pic:pic>
                  <pic:nvPicPr>
                    <pic:cNvPr id="2" name="/ImageGen.ashx?image=/media/18063/BO_601.png&amp;Height=310&amp;Text=&amp;Align=center&amp;FontSize=7" descr=""/>
                    <pic:cNvPicPr>
                      <a:picLocks noChangeAspect="1" noChangeArrowheads="1"/>
                    </pic:cNvPicPr>
                  </pic:nvPicPr>
                  <pic:blipFill>
                    <a:blip r:embed="R0cf0cd351cd848ff"/>
                    <a:srcRect/>
                    <a:stretch>
                      <a:fillRect/>
                    </a:stretch>
                  </pic:blipFill>
                  <pic:spPr bwMode="auto">
                    <a:xfrm>
                      <a:off x="0" y="0"/>
                      <a:ext cx="3228975" cy="2952750"/>
                    </a:xfrm>
                    <a:prstGeom prst="rect">
                      <a:avLst/>
                    </a:prstGeom>
                  </pic:spPr>
                </pic:pic>
              </a:graphicData>
            </a:graphic>
          </wp:inline>
        </w:drawing>
      </w:r>
    </w:p>
    <w:p>
      <w:r>
        <w:t xml:space="preserve">De nieuwe pompzuiger is ontworpen met het oog op veiligheid en ergonomie. Een volledig nieuw vormgegeven greep met glijvaste ommanteling en grotere greephoogte biedt grootsmogelijk comfort. Makkelijk en snel in bediening door afgeronde pomp.</w:t>
      </w:r>
    </w:p>
    <w:p>
      <w:r>
        <w:br/>
      </w:r>
    </w:p>
    <w:tbl>
      <w:tblPr>
        <w:tblW w:w="7274" w:type="dxa"/>
      </w:tblPr>
      <w:tblGrid>
        <w:gridCol/>
      </w:tblGrid>
      <w:tr>
        <w:tc>
          <w:tcPr>
            <w:gridSpan w:val="2"/>
            <w:b/>
          </w:tcPr>
          <w:p>
            <w:r>
              <w:rPr>
                <w:b/>
              </w:rPr>
              <w:t xml:space="preserve">VERIBOR blue line, kunststof pompzuiger in koffer</w:t>
            </w:r>
          </w:p>
        </w:tc>
      </w:tr>
      <w:tr>
        <w:tc>
          <w:tcPr/>
          <w:p>
            <w:r>
              <w:t xml:space="preserve">Zuigschijf</w:t>
            </w:r>
          </w:p>
        </w:tc>
        <w:tc>
          <w:tcPr>
            <w:tcMar>
              <w:left w:w="119" w:type="dxa"/>
            </w:tcMar>
          </w:tcPr>
          <w:p>
            <w:r>
              <w:t xml:space="preserve">210 mm Ø</w:t>
            </w:r>
          </w:p>
        </w:tc>
      </w:tr>
      <w:tr>
        <w:tc>
          <w:tcPr/>
          <w:p>
            <w:r>
              <w:t xml:space="preserve">Aantal zuigschijven</w:t>
            </w:r>
          </w:p>
        </w:tc>
        <w:tc>
          <w:tcPr>
            <w:tcMar>
              <w:left w:w="119" w:type="dxa"/>
            </w:tcMar>
          </w:tcPr>
          <w:p>
            <w:r>
              <w:t xml:space="preserve">1</w:t>
            </w:r>
          </w:p>
        </w:tc>
      </w:tr>
      <w:tr>
        <w:tc>
          <w:tcPr/>
          <w:p>
            <w:r>
              <w:t xml:space="preserve">Draagkracht</w:t>
            </w:r>
          </w:p>
        </w:tc>
        <w:tc>
          <w:tcPr>
            <w:tcMar>
              <w:left w:w="119" w:type="dxa"/>
            </w:tcMar>
          </w:tcPr>
          <w:p>
            <w:r>
              <w:t xml:space="preserve">120 kg</w:t>
            </w:r>
          </w:p>
        </w:tc>
      </w:tr>
      <w:tr>
        <w:tc>
          <w:tcPr/>
          <w:p>
            <w:r>
              <w:t xml:space="preserve">Draagrichting</w:t>
            </w:r>
          </w:p>
        </w:tc>
        <w:tc>
          <w:tcPr>
            <w:tcMar>
              <w:left w:w="119" w:type="dxa"/>
            </w:tcMar>
          </w:tcPr>
          <w:p>
            <w:r>
              <w:t xml:space="preserve">parallel</w:t>
            </w:r>
          </w:p>
        </w:tc>
      </w:tr>
      <w:tr>
        <w:tc>
          <w:tcPr/>
          <w:p>
            <w:r>
              <w:t xml:space="preserve">Gewicht</w:t>
            </w:r>
          </w:p>
        </w:tc>
        <w:tc>
          <w:tcPr>
            <w:tcMar>
              <w:left w:w="119" w:type="dxa"/>
            </w:tcMar>
          </w:tcPr>
          <w:p>
            <w:r>
              <w:t xml:space="preserve">1.375 kg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0cf0cd351cd848f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