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w:t>
      </w:r>
    </w:p>
    <w:p>
      <w:r>
        <w:drawing>
          <wp:inline distT="0" distB="0" distL="0" distR="0">
            <wp:extent cx="2952750" cy="2952750"/>
            <wp:effectExtent l="19050" t="0" r="0" b="0"/>
            <wp:docPr id="5" name="/ImageGen.ashx?image=/media/479625/9001320-stofkap-arbortech-hr.png&amp;Height=310&amp;Text=&amp;Align=center&amp;FontSize=7" descr=""/>
            <wp:cNvGraphicFramePr>
              <a:graphicFrameLocks noChangeAspect="1"/>
            </wp:cNvGraphicFramePr>
            <a:graphic>
              <a:graphicData uri="http://schemas.openxmlformats.org/drawingml/2006/picture">
                <pic:pic>
                  <pic:nvPicPr>
                    <pic:cNvPr id="2" name="/ImageGen.ashx?image=/media/479625/9001320-stofkap-arbortech-hr.png&amp;Height=310&amp;Text=&amp;Align=center&amp;FontSize=7" descr=""/>
                    <pic:cNvPicPr>
                      <a:picLocks noChangeAspect="1" noChangeArrowheads="1"/>
                    </pic:cNvPicPr>
                  </pic:nvPicPr>
                  <pic:blipFill>
                    <a:blip r:embed="Rae39dfd43bcc4313"/>
                    <a:srcRect/>
                    <a:stretch>
                      <a:fillRect/>
                    </a:stretch>
                  </pic:blipFill>
                  <pic:spPr bwMode="auto">
                    <a:xfrm>
                      <a:off x="0" y="0"/>
                      <a:ext cx="2952750" cy="2952750"/>
                    </a:xfrm>
                    <a:prstGeom prst="rect">
                      <a:avLst/>
                    </a:prstGeom>
                  </pic:spPr>
                </pic:pic>
              </a:graphicData>
            </a:graphic>
          </wp:inline>
        </w:drawing>
      </w:r>
    </w:p>
    <w:p>
      <w:r>
        <w:rPr>
          <w:b/>
        </w:rPr>
        <w:t xml:space="preserve">Stofkap Arbortech</w:t>
      </w:r>
    </w:p>
    <w:p>
      <w:r>
        <w:t xml:space="preserve">Artikelnummer: 9001320</w:t>
      </w:r>
    </w:p>
    <w:p>
      <w:r>
        <w:t xml:space="preserve">Deze stofkap is aan te sluiten op de Arbortech AS170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ae39dfd43bcc431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