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EPF1503</w:t>
      </w:r>
    </w:p>
    <w:p>
      <w:r>
        <w:drawing>
          <wp:inline distT="0" distB="0" distL="0" distR="0">
            <wp:extent cx="3248025" cy="2952750"/>
            <wp:effectExtent l="19050" t="0" r="0" b="0"/>
            <wp:docPr id="5" name="/ImageGen.ashx?image=/media/15011/EPF15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1/EPF15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da03e4ffaa49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1500 Watt - 4.000 t/min.</w:t>
      </w:r>
      <w:r>
        <w:br/>
      </w:r>
      <w:r>
        <w:t xml:space="preserve">inclusief set freeswielen</w:t>
      </w:r>
    </w:p>
    <w:p>
      <w:r>
        <w:t xml:space="preserve">Renovatiefreesmachine met softstartschakelaar voor het saneren van grotere oppervlaktes pleister, lijmresten of oude verflagen. Ook gladde oppervlaktes kunnen opgeruwd worden. De hardmetalen frees-sterren zijn bij uitstek geschikt voor het saneren op metselwerk. Met nauwkeurige freesdiepte instelling, temperatuur- en overbelastingsbeveiliging en een aansluiting voor een industriestofzuiger. Verpakt in metalen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8713265037927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140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3,9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Borstelring en set gekartelde freeswielen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2da03e4ffaa49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