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M18-M16</w:t>
      </w:r>
    </w:p>
    <w:p>
      <w:r>
        <w:drawing>
          <wp:inline distT="0" distB="0" distL="0" distR="0">
            <wp:extent cx="1857375" cy="2952750"/>
            <wp:effectExtent l="19050" t="0" r="0" b="0"/>
            <wp:docPr id="5" name="/ImageGen.ashx?image=/media/205367/1250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67/1250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8665970a1045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</w:t>
      </w:r>
    </w:p>
    <w:p>
      <w:r>
        <w:t xml:space="preserve">M18 binnen -M16 buiten</w:t>
      </w:r>
      <w:r>
        <w:br/>
      </w:r>
      <w:r>
        <w:t xml:space="preserve">Stofafzuiging type H</w:t>
      </w:r>
    </w:p>
    <w:p>
      <w:r>
        <w:t xml:space="preserve">Stofafzuiging type H voor dozenboren met stofafzuiging type H.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12.501.25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8713265038450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 - kunststof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binnendraad - M16 buitendraad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Dozenboren met stofafzuiging type H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e8665970a10454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