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125 18.0-EC 125</w:t>
      </w:r>
    </w:p>
    <w:p>
      <w:r>
        <w:drawing>
          <wp:inline distT="0" distB="0" distL="0" distR="0">
            <wp:extent cx="3467100" cy="2952750"/>
            <wp:effectExtent l="19050" t="0" r="0" b="0"/>
            <wp:docPr id="5" name="/ImageGen.ashx?image=/media/397625/l125_18_0-ec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25/l125_18_0-ec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3a82ac7cf7a4c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Electronic Management System (EMS) beschermt de machine, verlengt de levensduur en verhoogt de efficiëncy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Koolborstelloze motor met een hogere efficiëntie en een langere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zachte aanloop, beveiliging tegen overbelasting en heropstartblokkering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3-Wikkel bescherming tegen metaalstof. Vermindert motorslijtage en verhoogt de levensduur. Met bescherming op het einde van de gepantserde ankerwikkeling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Gereedschapsloze verstelling van de beschermkap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Handgreep links en rechts monteerbaar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Accuspanning</w:t>
      </w:r>
      <w:r>
        <w:t xml:space="preserve"> </w:t>
      </w:r>
      <w:r>
        <w:t xml:space="preserve">18 V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Accu-capaciteit</w:t>
      </w:r>
      <w:r>
        <w:t xml:space="preserve"> </w:t>
      </w:r>
      <w:r>
        <w:t xml:space="preserve">2,5 / 5,0 Ah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slijpschijf-Ø</w:t>
      </w:r>
      <w:r>
        <w:t xml:space="preserve"> </w:t>
      </w:r>
      <w:r>
        <w:t xml:space="preserve">125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</w:t>
      </w:r>
      <w:r>
        <w:t xml:space="preserve"> </w:t>
      </w:r>
      <w:r>
        <w:t xml:space="preserve">8500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Gereedschapsopname</w:t>
      </w:r>
      <w:r>
        <w:t xml:space="preserve"> </w:t>
      </w:r>
      <w:r>
        <w:t xml:space="preserve">M 14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zonder accu</w:t>
      </w:r>
      <w:r>
        <w:t xml:space="preserve"> </w:t>
      </w:r>
      <w:r>
        <w:t xml:space="preserve">1,75 kg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3a82ac7cf7a4c96" /><Relationship Type="http://schemas.openxmlformats.org/officeDocument/2006/relationships/numbering" Target="/word/numbering.xml" Id="R53d18bb9d21142d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