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11155</w:t>
      </w:r>
    </w:p>
    <w:p>
      <w:r>
        <w:drawing>
          <wp:inline distT="0" distB="0" distL="0" distR="0">
            <wp:extent cx="1990725" cy="2952750"/>
            <wp:effectExtent l="19050" t="0" r="0" b="0"/>
            <wp:docPr id="5" name="/ImageGen.ashx?image=/media/143215/model-k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15/model-k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e5f07363701446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K</w:t>
      </w:r>
    </w:p>
    <w:p>
      <w:r>
        <w:t xml:space="preserve">M14x2 - korf 120 mm</w:t>
      </w:r>
      <w:r>
        <w:br/>
      </w:r>
      <w:r>
        <w:t xml:space="preserve">lengte 600 mm</w:t>
      </w:r>
    </w:p>
    <w:p>
      <w:r>
        <w:t xml:space="preserve">De garde model K is bestemd voor het mengen van kleine hoeveelheden lijmachtige materialen.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11.155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8713265032885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120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5-25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Egalisatiemortel, plamuurmassa's en lijm-/afdichtingsstoffen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e5f07363701446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