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11004</w:t>
      </w:r>
    </w:p>
    <w:p>
      <w:r>
        <w:drawing>
          <wp:inline distT="0" distB="0" distL="0" distR="0">
            <wp:extent cx="2476500" cy="2952750"/>
            <wp:effectExtent l="19050" t="0" r="0" b="0"/>
            <wp:docPr id="5" name="/ImageGen.ashx?image=/media/143216/model-l.jpg&amp;Height=310&amp;Text=&amp;Align=center&amp;FontSize=7" descr=""/>
            <wp:cNvGraphicFramePr>
              <a:graphicFrameLocks noChangeAspect="1"/>
            </wp:cNvGraphicFramePr>
            <a:graphic>
              <a:graphicData uri="http://schemas.openxmlformats.org/drawingml/2006/picture">
                <pic:pic>
                  <pic:nvPicPr>
                    <pic:cNvPr id="2" name="/ImageGen.ashx?image=/media/143216/model-l.jpg&amp;Height=310&amp;Text=&amp;Align=center&amp;FontSize=7" descr=""/>
                    <pic:cNvPicPr>
                      <a:picLocks noChangeAspect="1" noChangeArrowheads="1"/>
                    </pic:cNvPicPr>
                  </pic:nvPicPr>
                  <pic:blipFill>
                    <a:blip r:embed="Rc519edca17e4479a"/>
                    <a:srcRect/>
                    <a:stretch>
                      <a:fillRect/>
                    </a:stretch>
                  </pic:blipFill>
                  <pic:spPr bwMode="auto">
                    <a:xfrm>
                      <a:off x="0" y="0"/>
                      <a:ext cx="2476500" cy="2952750"/>
                    </a:xfrm>
                    <a:prstGeom prst="rect">
                      <a:avLst/>
                    </a:prstGeom>
                  </pic:spPr>
                </pic:pic>
              </a:graphicData>
            </a:graphic>
          </wp:inline>
        </w:drawing>
      </w:r>
    </w:p>
    <w:p>
      <w:pPr>
        <w:pStyle w:val="heading 2"/>
      </w:pPr>
      <w:r>
        <w:t xml:space="preserve">Garde model L</w:t>
      </w:r>
    </w:p>
    <w:p>
      <w:r>
        <w:t xml:space="preserve">rond 7 mm - korf 80 mm</w:t>
      </w:r>
      <w:r>
        <w:br/>
      </w:r>
      <w:r>
        <w:t xml:space="preserve">lengte 350mm</w:t>
      </w:r>
    </w:p>
    <w:p>
      <w:r>
        <w:t xml:space="preserve">Garde voor het mengen van lichte materialen zoals tegellijm, latex en verf. De garde drukt het te mengen materiaal naar beneden waardoor een snelle en goede menging van het materiaal wordt bereikt. </w:t>
      </w:r>
      <w:r>
        <w:t xml:space="preserve">Technische gegevens:</w:t>
      </w:r>
    </w:p>
    <w:tbl>
      <w:tblPr>
        <w:tblW w:w="auto" w:type="pct"/>
      </w:tblPr>
      <w:tblGrid>
        <w:gridCol/>
        <w:gridCol/>
      </w:tblGrid>
      <w:tr>
        <w:tc>
          <w:tcPr>
            <w:tcW w:w="150" w:type="dxa"/>
          </w:tcPr>
          <w:p>
            <w:r>
              <w:t xml:space="preserve">Artikelnummer</w:t>
            </w:r>
          </w:p>
        </w:tc>
        <w:tc>
          <w:tcPr/>
          <w:p>
            <w:r>
              <w:t xml:space="preserve">11.004</w:t>
            </w:r>
          </w:p>
        </w:tc>
      </w:tr>
      <w:tr>
        <w:tc>
          <w:tcPr/>
          <w:p>
            <w:r>
              <w:t xml:space="preserve">EAN code</w:t>
            </w:r>
          </w:p>
        </w:tc>
        <w:tc>
          <w:tcPr/>
          <w:p>
            <w:r>
              <w:t xml:space="preserve">8713265032878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350 mm</w:t>
            </w:r>
          </w:p>
        </w:tc>
      </w:tr>
      <w:tr>
        <w:tc>
          <w:tcPr/>
          <w:p>
            <w:r>
              <w:t xml:space="preserve">Diameter mengkorf</w:t>
            </w:r>
          </w:p>
        </w:tc>
        <w:tc>
          <w:tcPr/>
          <w:p>
            <w:r>
              <w:t xml:space="preserve">80 mm</w:t>
            </w:r>
          </w:p>
        </w:tc>
      </w:tr>
      <w:tr>
        <w:tc>
          <w:tcPr/>
          <w:p>
            <w:r>
              <w:t xml:space="preserve">Aansluiting</w:t>
            </w:r>
          </w:p>
        </w:tc>
        <w:tc>
          <w:tcPr/>
          <w:p>
            <w:r>
              <w:t xml:space="preserve">cylindrisch 8mm</w:t>
            </w:r>
          </w:p>
        </w:tc>
      </w:tr>
      <w:tr>
        <w:tc>
          <w:tcPr/>
          <w:p>
            <w:r>
              <w:t xml:space="preserve">Mengcapaciteit</w:t>
            </w:r>
          </w:p>
        </w:tc>
        <w:tc>
          <w:tcPr/>
          <w:p>
            <w:r>
              <w:t xml:space="preserve">5-15 kg</w:t>
            </w:r>
          </w:p>
        </w:tc>
      </w:tr>
      <w:tr>
        <w:tc>
          <w:tcPr/>
          <w:p>
            <w:r>
              <w:t xml:space="preserve">Geschikt voor</w:t>
            </w:r>
          </w:p>
        </w:tc>
        <w:tc>
          <w:tcPr/>
          <w:p>
            <w:r>
              <w:t xml:space="preserve">Lakken, (muur)verven, lijmen, epoxyharsen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519edca17e4479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