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11052</w:t>
      </w:r>
    </w:p>
    <w:p>
      <w:r>
        <w:drawing>
          <wp:inline distT="0" distB="0" distL="0" distR="0">
            <wp:extent cx="1885950" cy="2952750"/>
            <wp:effectExtent l="19050" t="0" r="0" b="0"/>
            <wp:docPr id="5" name="/ImageGen.ashx?image=/media/143218/model-r.jpg&amp;Height=310&amp;Text=&amp;Align=center&amp;FontSize=7" descr=""/>
            <wp:cNvGraphicFramePr>
              <a:graphicFrameLocks noChangeAspect="1"/>
            </wp:cNvGraphicFramePr>
            <a:graphic>
              <a:graphicData uri="http://schemas.openxmlformats.org/drawingml/2006/picture">
                <pic:pic>
                  <pic:nvPicPr>
                    <pic:cNvPr id="2" name="/ImageGen.ashx?image=/media/143218/model-r.jpg&amp;Height=310&amp;Text=&amp;Align=center&amp;FontSize=7" descr=""/>
                    <pic:cNvPicPr>
                      <a:picLocks noChangeAspect="1" noChangeArrowheads="1"/>
                    </pic:cNvPicPr>
                  </pic:nvPicPr>
                  <pic:blipFill>
                    <a:blip r:embed="Ra9d3ba5d3a244fd3"/>
                    <a:srcRect/>
                    <a:stretch>
                      <a:fillRect/>
                    </a:stretch>
                  </pic:blipFill>
                  <pic:spPr bwMode="auto">
                    <a:xfrm>
                      <a:off x="0" y="0"/>
                      <a:ext cx="1885950" cy="2952750"/>
                    </a:xfrm>
                    <a:prstGeom prst="rect">
                      <a:avLst/>
                    </a:prstGeom>
                  </pic:spPr>
                </pic:pic>
              </a:graphicData>
            </a:graphic>
          </wp:inline>
        </w:drawing>
      </w:r>
    </w:p>
    <w:p>
      <w:pPr>
        <w:pStyle w:val="heading 2"/>
      </w:pPr>
      <w:r>
        <w:t xml:space="preserve">Garde model R</w:t>
      </w:r>
    </w:p>
    <w:p>
      <w:r>
        <w:t xml:space="preserve">6kant-8mm - korf 85 mm</w:t>
      </w:r>
      <w:r>
        <w:br/>
      </w:r>
      <w:r>
        <w:t xml:space="preserve">lengte 400 mm</w:t>
      </w:r>
    </w:p>
    <w:p>
      <w:r>
        <w:t xml:space="preserve">Deze garde is geschikt voor de schilder en stukadoor. De garde is speciaal geconstrueerd voor het mengen van dunne vloeibare materialen zoals verven, lakken, bitumen etc. Het te mengen materiaal wordt door de schoepen naar beneden gedrukt en komt aan de buitenkant van de garde langs de rand van het blik of emmer weer omhoog, waardoor opspatten tot een minimum wordt beperkt. </w:t>
      </w:r>
      <w:r>
        <w:t xml:space="preserve">Technische gegevens:</w:t>
      </w:r>
    </w:p>
    <w:tbl>
      <w:tblPr>
        <w:tblW w:w="auto" w:type="pct"/>
      </w:tblPr>
      <w:tblGrid>
        <w:gridCol/>
        <w:gridCol/>
      </w:tblGrid>
      <w:tr>
        <w:tc>
          <w:tcPr>
            <w:tcW w:w="150" w:type="dxa"/>
          </w:tcPr>
          <w:p>
            <w:r>
              <w:t xml:space="preserve">Artikelnummer</w:t>
            </w:r>
          </w:p>
        </w:tc>
        <w:tc>
          <w:tcPr/>
          <w:p>
            <w:r>
              <w:t xml:space="preserve">11.052</w:t>
            </w:r>
          </w:p>
        </w:tc>
      </w:tr>
      <w:tr>
        <w:tc>
          <w:tcPr/>
          <w:p>
            <w:r>
              <w:t xml:space="preserve">EAN code</w:t>
            </w:r>
          </w:p>
        </w:tc>
        <w:tc>
          <w:tcPr/>
          <w:p>
            <w:r>
              <w:t xml:space="preserve">8713265004882</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400 mm</w:t>
            </w:r>
          </w:p>
        </w:tc>
      </w:tr>
      <w:tr>
        <w:tc>
          <w:tcPr/>
          <w:p>
            <w:r>
              <w:t xml:space="preserve">Diameter mengkorf</w:t>
            </w:r>
          </w:p>
        </w:tc>
        <w:tc>
          <w:tcPr/>
          <w:p>
            <w:r>
              <w:t xml:space="preserve">85 mm</w:t>
            </w:r>
          </w:p>
        </w:tc>
      </w:tr>
      <w:tr>
        <w:tc>
          <w:tcPr/>
          <w:p>
            <w:r>
              <w:t xml:space="preserve">Aansluiting</w:t>
            </w:r>
          </w:p>
        </w:tc>
        <w:tc>
          <w:tcPr/>
          <w:p>
            <w:r>
              <w:t xml:space="preserve">6-kant 8 mm</w:t>
            </w:r>
          </w:p>
        </w:tc>
      </w:tr>
      <w:tr>
        <w:tc>
          <w:tcPr/>
          <w:p>
            <w:r>
              <w:t xml:space="preserve">Mengcapaciteit</w:t>
            </w:r>
          </w:p>
        </w:tc>
        <w:tc>
          <w:tcPr/>
          <w:p>
            <w:r>
              <w:t xml:space="preserve">5-15 kg</w:t>
            </w:r>
          </w:p>
        </w:tc>
      </w:tr>
      <w:tr>
        <w:tc>
          <w:tcPr/>
          <w:p>
            <w:r>
              <w:t xml:space="preserve">Geschikt voor</w:t>
            </w:r>
          </w:p>
        </w:tc>
        <w:tc>
          <w:tcPr/>
          <w:p>
            <w:r>
              <w:t xml:space="preserve">Lakken, (muur)verven, voegenmassa, kleef-/egalisatiemortel</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a9d3ba5d3a244fd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