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DK118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6/dk1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6/dk1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9061f71e0e46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5.4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430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100 - 250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360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Metselsteen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b9061f71e0e46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