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DK26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3188/dk26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188/dk26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cb369abacb0546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  <w:tblInd w:w="0" w:type="dxa"/>
      </w:tblPr>
      <w:tblGrid>
        <w:gridCol/>
        <w:gridCol/>
      </w:tblGrid>
      <w:tr>
        <w:tc>
          <w:tcPr/>
          <w:p>
            <w:r>
              <w:t xml:space="preserve">Spanning (V)</w:t>
            </w:r>
          </w:p>
        </w:tc>
        <w:tc>
          <w:tcPr/>
          <w:p>
            <w:r>
              <w:t xml:space="preserve">230</w:t>
            </w:r>
          </w:p>
        </w:tc>
      </w:tr>
      <w:tr>
        <w:tc>
          <w:tcPr/>
          <w:p>
            <w:r>
              <w:t xml:space="preserve">Gewicht (Kg)</w:t>
            </w:r>
          </w:p>
        </w:tc>
        <w:tc>
          <w:tcPr/>
          <w:p>
            <w:r>
              <w:t xml:space="preserve">11.6</w:t>
            </w:r>
          </w:p>
        </w:tc>
      </w:tr>
      <w:tr>
        <w:tc>
          <w:tcPr/>
          <w:p>
            <w:r>
              <w:t xml:space="preserve">Toerental</w:t>
            </w:r>
          </w:p>
        </w:tc>
        <w:tc>
          <w:tcPr/>
          <w:p>
            <w:r>
              <w:t xml:space="preserve">245/480/760</w:t>
            </w:r>
          </w:p>
        </w:tc>
      </w:tr>
      <w:tr>
        <w:tc>
          <w:tcPr/>
          <w:p>
            <w:pPr>
              <w:jc w:val="center"/>
            </w:pPr>
            <w:r>
              <w:t xml:space="preserve">Max. boordiameter (mm)</w:t>
            </w:r>
          </w:p>
        </w:tc>
        <w:tc>
          <w:tcPr/>
          <w:p>
            <w:r>
              <w:t xml:space="preserve">250</w:t>
            </w:r>
          </w:p>
        </w:tc>
      </w:tr>
      <w:tr>
        <w:tc>
          <w:tcPr/>
          <w:p>
            <w:r>
              <w:t xml:space="preserve">Vermogen (W)</w:t>
            </w:r>
          </w:p>
        </w:tc>
        <w:tc>
          <w:tcPr/>
          <w:p>
            <w:r>
              <w:t xml:space="preserve">2600</w:t>
            </w:r>
          </w:p>
        </w:tc>
      </w:tr>
      <w:tr>
        <w:tc>
          <w:tcPr/>
          <w:p>
            <w:r>
              <w:t xml:space="preserve">Opname</w:t>
            </w:r>
          </w:p>
        </w:tc>
        <w:tc>
          <w:tcPr/>
          <w:p>
            <w:r>
              <w:t xml:space="preserve">1.25</w:t>
            </w:r>
          </w:p>
        </w:tc>
      </w:tr>
      <w:tr>
        <w:tc>
          <w:tcPr/>
          <w:p>
            <w:r>
              <w:t xml:space="preserve">Lengte (mm)</w:t>
            </w:r>
          </w:p>
        </w:tc>
        <w:tc>
          <w:tcPr/>
          <w:p>
            <w:r>
              <w:t xml:space="preserve">490</w:t>
            </w:r>
          </w:p>
        </w:tc>
      </w:tr>
      <w:tr>
        <w:tc>
          <w:tcPr/>
          <w:p>
            <w:r>
              <w:t xml:space="preserve">Toepassing</w:t>
            </w:r>
          </w:p>
        </w:tc>
        <w:tc>
          <w:tcPr/>
          <w:p>
            <w:r>
              <w:t xml:space="preserve">Steen, Beton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cb369abacb05466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