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FS1 Fusion</w:t>
      </w:r>
    </w:p>
    <w:p>
      <w:r>
        <w:drawing>
          <wp:inline distT="0" distB="0" distL="0" distR="0">
            <wp:extent cx="2914650" cy="2952750"/>
            <wp:effectExtent l="19050" t="0" r="0" b="0"/>
            <wp:docPr id="5" name="/ImageGen.ashx?image=/media/191011/fs1_fusion.png&amp;Height=310&amp;Text=&amp;Align=center&amp;FontSize=7" descr=""/>
            <wp:cNvGraphicFramePr>
              <a:graphicFrameLocks noChangeAspect="1"/>
            </wp:cNvGraphicFramePr>
            <a:graphic>
              <a:graphicData uri="http://schemas.openxmlformats.org/drawingml/2006/picture">
                <pic:pic>
                  <pic:nvPicPr>
                    <pic:cNvPr id="2" name="/ImageGen.ashx?image=/media/191011/fs1_fusion.png&amp;Height=310&amp;Text=&amp;Align=center&amp;FontSize=7" descr=""/>
                    <pic:cNvPicPr>
                      <a:picLocks noChangeAspect="1" noChangeArrowheads="1"/>
                    </pic:cNvPicPr>
                  </pic:nvPicPr>
                  <pic:blipFill>
                    <a:blip r:embed="Rcce71378dcae437c"/>
                    <a:srcRect/>
                    <a:stretch>
                      <a:fillRect/>
                    </a:stretch>
                  </pic:blipFill>
                  <pic:spPr bwMode="auto">
                    <a:xfrm>
                      <a:off x="0" y="0"/>
                      <a:ext cx="2914650" cy="2952750"/>
                    </a:xfrm>
                    <a:prstGeom prst="rect">
                      <a:avLst/>
                    </a:prstGeom>
                  </pic:spPr>
                </pic:pic>
              </a:graphicData>
            </a:graphic>
          </wp:inline>
        </w:drawing>
      </w:r>
    </w:p>
    <w:p>
      <w:r>
        <w:t xml:space="preserve">De F1 FUSION combineert de duurzaamheid van een afbraamschijf met het fijne resultaat van een lamellenslijpschijf. Bij hoeklassen wordt een zeer fijne afwerking bereikt, zodat het werkstuk vervolgens direct kan worden verzinkt of gelakt. De FS1 FUSION is leverbaar in verschillende korrelgroftes, aanvullende fijnafwerking is niet nodig. Het zuivere slijpgedrag met hoge verspaning zorgt voor uitstekende materiaalafname. De FS1 FUSION kan aan de rand worden 'gedrest', waardoor de schijf aan iedere afzonderlijke situatie kan worden aangepast.</w:t>
      </w:r>
    </w:p>
    <w:p>
      <w:r>
        <w:t xml:space="preserve">Materiaal:</w:t>
      </w:r>
    </w:p>
    <w:p>
      <w:pPr>
        <w:pStyle w:val="ListParagraph"/>
        <w:spacing w:after="0"/>
        <w:ind w:left="0" w:hanging="357"/>
        <w:numPr>
          <w:ilvl w:val="0"/>
          <w:numId w:val="2"/>
        </w:numPr>
      </w:pPr>
      <w:r>
        <w:t xml:space="preserve">roest- en zuurbestendige staalsoorten</w:t>
      </w:r>
    </w:p>
    <w:p>
      <w:pPr>
        <w:pStyle w:val="ListParagraph"/>
        <w:spacing w:after="0"/>
        <w:ind w:left="0" w:hanging="357"/>
        <w:numPr>
          <w:ilvl w:val="0"/>
          <w:numId w:val="2"/>
        </w:numPr>
      </w:pPr>
      <w:r>
        <w:t xml:space="preserve">trekvast / hooggelegeerde staalsoorten</w:t>
      </w:r>
    </w:p>
    <w:p>
      <w:pPr>
        <w:pStyle w:val="ListParagraph"/>
        <w:spacing w:after="0"/>
        <w:ind w:left="0" w:hanging="357"/>
        <w:numPr>
          <w:ilvl w:val="0"/>
          <w:numId w:val="2"/>
        </w:numPr>
      </w:pPr>
      <w:r>
        <w:t xml:space="preserve">gehard staal</w:t>
      </w:r>
    </w:p>
    <w:p>
      <w:pPr>
        <w:pStyle w:val="ListParagraph"/>
        <w:spacing w:after="0"/>
        <w:ind w:left="0" w:hanging="357"/>
        <w:numPr>
          <w:ilvl w:val="0"/>
          <w:numId w:val="2"/>
        </w:numPr>
      </w:pPr>
      <w:r>
        <w:t xml:space="preserve">bouwstaal</w:t>
      </w:r>
    </w:p>
    <w:p>
      <w:pPr>
        <w:pStyle w:val="ListParagraph"/>
        <w:spacing w:after="0"/>
        <w:ind w:left="0" w:hanging="357"/>
        <w:numPr>
          <w:ilvl w:val="0"/>
          <w:numId w:val="2"/>
        </w:numPr>
      </w:pPr>
      <w:r>
        <w:t xml:space="preserve">gereedschapstaal</w:t>
      </w:r>
    </w:p>
    <w:p>
      <w:pPr>
        <w:pStyle w:val="ListParagraph"/>
        <w:spacing w:after="0"/>
        <w:ind w:left="0" w:hanging="357"/>
        <w:numPr>
          <w:ilvl w:val="0"/>
          <w:numId w:val="2"/>
        </w:numPr>
      </w:pPr>
      <w:r>
        <w:t xml:space="preserve">gietijzer</w:t>
      </w:r>
    </w:p>
    <w:p>
      <w:pPr>
        <w:pStyle w:val="ListParagraph"/>
        <w:spacing w:after="0"/>
        <w:ind w:left="0" w:hanging="357"/>
        <w:numPr>
          <w:ilvl w:val="0"/>
          <w:numId w:val="2"/>
        </w:numPr>
      </w:pPr>
      <w:r>
        <w:t xml:space="preserve">Hardox</w:t>
      </w:r>
    </w:p>
    <w:p>
      <w:r>
        <w:t xml:space="preserve">Toepassingsvoorbeelden:</w:t>
      </w:r>
    </w:p>
    <w:p>
      <w:pPr>
        <w:pStyle w:val="ListParagraph"/>
        <w:spacing w:after="0"/>
        <w:ind w:left="0" w:hanging="357"/>
        <w:numPr>
          <w:ilvl w:val="0"/>
          <w:numId w:val="3"/>
        </w:numPr>
      </w:pPr>
      <w:r>
        <w:t xml:space="preserve">bewerking van hoeklassen</w:t>
      </w:r>
    </w:p>
    <w:p>
      <w:pPr>
        <w:pStyle w:val="ListParagraph"/>
        <w:spacing w:after="0"/>
        <w:ind w:left="0" w:hanging="357"/>
        <w:numPr>
          <w:ilvl w:val="0"/>
          <w:numId w:val="3"/>
        </w:numPr>
      </w:pPr>
      <w:r>
        <w:t xml:space="preserve">hoek- en kantslijpen</w:t>
      </w:r>
    </w:p>
    <w:p>
      <w:pPr>
        <w:pStyle w:val="ListParagraph"/>
        <w:spacing w:after="0"/>
        <w:ind w:left="0" w:hanging="357"/>
        <w:numPr>
          <w:ilvl w:val="0"/>
          <w:numId w:val="3"/>
        </w:numPr>
      </w:pPr>
      <w:r>
        <w:t xml:space="preserve">vlakslijpen</w:t>
      </w:r>
    </w:p>
    <w:p>
      <w:pPr>
        <w:pStyle w:val="ListParagraph"/>
        <w:spacing w:after="0"/>
        <w:ind w:left="0" w:hanging="357"/>
        <w:numPr>
          <w:ilvl w:val="0"/>
          <w:numId w:val="3"/>
        </w:numPr>
      </w:pPr>
      <w:r>
        <w:t xml:space="preserve">egaliseren</w:t>
      </w:r>
    </w:p>
    <w:p>
      <w:pPr>
        <w:pStyle w:val="ListParagraph"/>
        <w:spacing w:after="0"/>
        <w:ind w:left="0" w:hanging="357"/>
        <w:numPr>
          <w:ilvl w:val="0"/>
          <w:numId w:val="3"/>
        </w:numPr>
      </w:pPr>
      <w:r>
        <w:t xml:space="preserve">afbramen</w:t>
      </w:r>
    </w:p>
    <w:p>
      <w:pPr>
        <w:pStyle w:val="ListParagraph"/>
        <w:spacing w:after="0"/>
        <w:ind w:left="0" w:hanging="357"/>
        <w:numPr>
          <w:ilvl w:val="0"/>
          <w:numId w:val="3"/>
        </w:numPr>
      </w:pPr>
      <w:r>
        <w:t xml:space="preserve">lasnaden</w:t>
      </w:r>
    </w:p>
    <w:p>
      <w:pPr>
        <w:pStyle w:val="ListParagraph"/>
        <w:spacing w:after="0"/>
        <w:ind w:left="0" w:hanging="357"/>
        <w:numPr>
          <w:ilvl w:val="0"/>
          <w:numId w:val="3"/>
        </w:numPr>
      </w:pPr>
      <w:r>
        <w:t xml:space="preserve">voorbewerken van lasnaden</w:t>
      </w:r>
    </w:p>
    <w:p>
      <w:pPr>
        <w:pStyle w:val="ListParagraph"/>
        <w:spacing w:after="0"/>
        <w:ind w:left="0" w:hanging="357"/>
        <w:numPr>
          <w:ilvl w:val="0"/>
          <w:numId w:val="3"/>
        </w:numPr>
      </w:pPr>
      <w:r>
        <w:t xml:space="preserve">walshuid slijpen</w:t>
      </w:r>
    </w:p>
    <w:tbl>
      <w:tblPr>
        <w:tblBorders>
          <w:top w:val="single"/>
          <w:left w:val="single"/>
          <w:right w:val="single"/>
          <w:bottom w:val="single"/>
          <w:insideH w:val="single"/>
          <w:insideV w:val="single"/>
        </w:tblBorders>
        <w:tblW w:w="5000" w:type="pct"/>
        <w:tblCellSpacing w:w="0" w:type="dxa"/>
      </w:tblPr>
      <w:tblGrid>
        <w:gridCol/>
      </w:tblGrid>
      <w:tr>
        <w:tc>
          <w:tcPr>
            <w:gridSpan w:val="4"/>
            <w:rStyle w:val="Koptekst"/>
            <w:rStyle w:val="Koptekst"/>
          </w:tcPr>
          <w:p>
            <w:r>
              <w:rPr>
                <w:rStyle w:val="Koptekst"/>
              </w:rPr>
              <w:t xml:space="preserve">FS1 FUSION  37A46P10BF1347 </w:t>
            </w:r>
          </w:p>
        </w:tc>
      </w:tr>
      <w:tr>
        <w:tc>
          <w:tcPr>
            <w:rStyle w:val="Koptekst"/>
            <w:rStyle w:val="Koptekst"/>
          </w:tcPr>
          <w:p/>
        </w:tc>
        <w:tc>
          <w:tcPr>
            <w:rStyle w:val="Koptekst"/>
            <w:rStyle w:val="Koptekst"/>
          </w:tcPr>
          <w:p/>
        </w:tc>
        <w:tc>
          <w:tcPr>
            <w:rStyle w:val="Koptekst"/>
            <w:rStyle w:val="Koptekst"/>
          </w:tcPr>
          <w:p/>
        </w:tc>
        <w:tc>
          <w:tcPr>
            <w:rStyle w:val="Koptekst"/>
            <w:rStyle w:val="Koptekst"/>
          </w:tcPr>
          <w:p/>
        </w:tc>
      </w:tr>
      <w:tr>
        <w:tc>
          <w:tcPr/>
          <w:p>
            <w:r>
              <w:t xml:space="preserve">115 x 4,0 x 22.23</w:t>
            </w:r>
          </w:p>
        </w:tc>
        <w:tc>
          <w:tcPr/>
          <w:p>
            <w:r>
              <w:t xml:space="preserve">40</w:t>
            </w:r>
          </w:p>
        </w:tc>
        <w:tc>
          <w:tcPr/>
          <w:p>
            <w:r>
              <w:t xml:space="preserve">10</w:t>
            </w:r>
          </w:p>
        </w:tc>
        <w:tc>
          <w:tcPr/>
          <w:p>
            <w:r>
              <w:t xml:space="preserve">207826</w:t>
            </w:r>
          </w:p>
        </w:tc>
      </w:tr>
      <w:tr>
        <w:tc>
          <w:tcPr/>
          <w:p>
            <w:r>
              <w:t xml:space="preserve">115 x 4,0 x 22.23</w:t>
            </w:r>
          </w:p>
        </w:tc>
        <w:tc>
          <w:tcPr/>
          <w:p>
            <w:r>
              <w:t xml:space="preserve">60</w:t>
            </w:r>
          </w:p>
        </w:tc>
        <w:tc>
          <w:tcPr/>
          <w:p>
            <w:r>
              <w:t xml:space="preserve">10</w:t>
            </w:r>
          </w:p>
        </w:tc>
        <w:tc>
          <w:tcPr/>
          <w:p>
            <w:r>
              <w:t xml:space="preserve">207827</w:t>
            </w:r>
          </w:p>
        </w:tc>
      </w:tr>
      <w:tr>
        <w:tc>
          <w:tcPr/>
          <w:p>
            <w:r>
              <w:t xml:space="preserve">115 x 4,0 x 22.23</w:t>
            </w:r>
          </w:p>
        </w:tc>
        <w:tc>
          <w:tcPr/>
          <w:p>
            <w:r>
              <w:t xml:space="preserve">80</w:t>
            </w:r>
          </w:p>
        </w:tc>
        <w:tc>
          <w:tcPr/>
          <w:p>
            <w:r>
              <w:t xml:space="preserve">10</w:t>
            </w:r>
          </w:p>
        </w:tc>
        <w:tc>
          <w:tcPr/>
          <w:p>
            <w:r>
              <w:t xml:space="preserve">207884</w:t>
            </w:r>
          </w:p>
        </w:tc>
      </w:tr>
      <w:tr>
        <w:tc>
          <w:tcPr/>
          <w:p>
            <w:r>
              <w:t xml:space="preserve">115 x 6,5 x 22.23</w:t>
            </w:r>
          </w:p>
        </w:tc>
        <w:tc>
          <w:tcPr/>
          <w:p>
            <w:r>
              <w:t xml:space="preserve">40</w:t>
            </w:r>
          </w:p>
        </w:tc>
        <w:tc>
          <w:tcPr/>
          <w:p>
            <w:r>
              <w:t xml:space="preserve">10</w:t>
            </w:r>
          </w:p>
        </w:tc>
        <w:tc>
          <w:tcPr/>
          <w:p>
            <w:r>
              <w:t xml:space="preserve">207817</w:t>
            </w:r>
          </w:p>
        </w:tc>
      </w:tr>
      <w:tr>
        <w:tc>
          <w:tcPr/>
          <w:p>
            <w:r>
              <w:t xml:space="preserve">115 x 6,5 x 22.23</w:t>
            </w:r>
          </w:p>
        </w:tc>
        <w:tc>
          <w:tcPr/>
          <w:p>
            <w:r>
              <w:t xml:space="preserve">60</w:t>
            </w:r>
          </w:p>
        </w:tc>
        <w:tc>
          <w:tcPr/>
          <w:p>
            <w:r>
              <w:t xml:space="preserve">10</w:t>
            </w:r>
          </w:p>
        </w:tc>
        <w:tc>
          <w:tcPr/>
          <w:p>
            <w:r>
              <w:t xml:space="preserve">207818</w:t>
            </w:r>
          </w:p>
        </w:tc>
      </w:tr>
      <w:tr>
        <w:tc>
          <w:tcPr/>
          <w:p>
            <w:r>
              <w:t xml:space="preserve">115 x 6,5 x 22.23</w:t>
            </w:r>
          </w:p>
        </w:tc>
        <w:tc>
          <w:tcPr/>
          <w:p>
            <w:r>
              <w:t xml:space="preserve">80</w:t>
            </w:r>
          </w:p>
        </w:tc>
        <w:tc>
          <w:tcPr/>
          <w:p>
            <w:r>
              <w:t xml:space="preserve">10</w:t>
            </w:r>
          </w:p>
        </w:tc>
        <w:tc>
          <w:tcPr/>
          <w:p>
            <w:r>
              <w:t xml:space="preserve">207881</w:t>
            </w:r>
          </w:p>
        </w:tc>
      </w:tr>
      <w:tr>
        <w:tc>
          <w:tcPr/>
          <w:p>
            <w:r>
              <w:t xml:space="preserve">125 x 4,0 x 22.23</w:t>
            </w:r>
          </w:p>
        </w:tc>
        <w:tc>
          <w:tcPr/>
          <w:p>
            <w:r>
              <w:t xml:space="preserve">40</w:t>
            </w:r>
          </w:p>
        </w:tc>
        <w:tc>
          <w:tcPr/>
          <w:p>
            <w:r>
              <w:t xml:space="preserve">10</w:t>
            </w:r>
          </w:p>
        </w:tc>
        <w:tc>
          <w:tcPr/>
          <w:p>
            <w:r>
              <w:t xml:space="preserve">207829</w:t>
            </w:r>
          </w:p>
        </w:tc>
      </w:tr>
      <w:tr>
        <w:tc>
          <w:tcPr/>
          <w:p>
            <w:r>
              <w:t xml:space="preserve">125 x 4,0 x 22.23</w:t>
            </w:r>
          </w:p>
        </w:tc>
        <w:tc>
          <w:tcPr/>
          <w:p>
            <w:r>
              <w:t xml:space="preserve">60</w:t>
            </w:r>
          </w:p>
        </w:tc>
        <w:tc>
          <w:tcPr/>
          <w:p>
            <w:r>
              <w:t xml:space="preserve">10</w:t>
            </w:r>
          </w:p>
        </w:tc>
        <w:tc>
          <w:tcPr/>
          <w:p>
            <w:r>
              <w:t xml:space="preserve">207830</w:t>
            </w:r>
          </w:p>
        </w:tc>
      </w:tr>
      <w:tr>
        <w:tc>
          <w:tcPr/>
          <w:p>
            <w:r>
              <w:t xml:space="preserve">125 x 4,0 x 22.23</w:t>
            </w:r>
          </w:p>
        </w:tc>
        <w:tc>
          <w:tcPr/>
          <w:p>
            <w:r>
              <w:t xml:space="preserve">80</w:t>
            </w:r>
          </w:p>
        </w:tc>
        <w:tc>
          <w:tcPr/>
          <w:p>
            <w:r>
              <w:t xml:space="preserve">10</w:t>
            </w:r>
          </w:p>
        </w:tc>
        <w:tc>
          <w:tcPr/>
          <w:p>
            <w:r>
              <w:t xml:space="preserve">207885</w:t>
            </w:r>
          </w:p>
        </w:tc>
      </w:tr>
      <w:tr>
        <w:tc>
          <w:tcPr/>
          <w:p>
            <w:r>
              <w:t xml:space="preserve">125 x 6,5 x 22.23</w:t>
            </w:r>
          </w:p>
        </w:tc>
        <w:tc>
          <w:tcPr/>
          <w:p>
            <w:r>
              <w:t xml:space="preserve">40</w:t>
            </w:r>
          </w:p>
        </w:tc>
        <w:tc>
          <w:tcPr/>
          <w:p>
            <w:r>
              <w:t xml:space="preserve">10</w:t>
            </w:r>
          </w:p>
        </w:tc>
        <w:tc>
          <w:tcPr/>
          <w:p>
            <w:r>
              <w:t xml:space="preserve">207820</w:t>
            </w:r>
          </w:p>
        </w:tc>
      </w:tr>
      <w:tr>
        <w:tc>
          <w:tcPr/>
          <w:p>
            <w:r>
              <w:t xml:space="preserve">125 x 6,5 x 22.23</w:t>
            </w:r>
          </w:p>
        </w:tc>
        <w:tc>
          <w:tcPr/>
          <w:p>
            <w:r>
              <w:t xml:space="preserve">60</w:t>
            </w:r>
          </w:p>
        </w:tc>
        <w:tc>
          <w:tcPr/>
          <w:p>
            <w:r>
              <w:t xml:space="preserve">10</w:t>
            </w:r>
          </w:p>
        </w:tc>
        <w:tc>
          <w:tcPr/>
          <w:p>
            <w:r>
              <w:t xml:space="preserve">207821</w:t>
            </w:r>
          </w:p>
        </w:tc>
      </w:tr>
      <w:tr>
        <w:tc>
          <w:tcPr/>
          <w:p>
            <w:r>
              <w:t xml:space="preserve">125 x 6,5 x 22.23</w:t>
            </w:r>
          </w:p>
        </w:tc>
        <w:tc>
          <w:tcPr/>
          <w:p>
            <w:r>
              <w:t xml:space="preserve">80</w:t>
            </w:r>
          </w:p>
        </w:tc>
        <w:tc>
          <w:tcPr/>
          <w:p>
            <w:r>
              <w:t xml:space="preserve">10</w:t>
            </w:r>
          </w:p>
        </w:tc>
        <w:tc>
          <w:tcPr/>
          <w:p>
            <w:r>
              <w:t xml:space="preserve">207882</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cce71378dcae437c" /><Relationship Type="http://schemas.openxmlformats.org/officeDocument/2006/relationships/numbering" Target="/word/numbering.xml" Id="R209a74aa8a85489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