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XT35 CROSS</w:t>
      </w:r>
    </w:p>
    <w:p>
      <w:r>
        <w:drawing>
          <wp:inline distT="0" distB="0" distL="0" distR="0">
            <wp:extent cx="2952750" cy="2952750"/>
            <wp:effectExtent l="19050" t="0" r="0" b="0"/>
            <wp:docPr id="5" name="/ImageGen.ashx?image=/media/190991/xt35-cross.jpg&amp;Height=310&amp;Text=&amp;Align=center&amp;FontSize=7" descr=""/>
            <wp:cNvGraphicFramePr>
              <a:graphicFrameLocks noChangeAspect="1"/>
            </wp:cNvGraphicFramePr>
            <a:graphic>
              <a:graphicData uri="http://schemas.openxmlformats.org/drawingml/2006/picture">
                <pic:pic>
                  <pic:nvPicPr>
                    <pic:cNvPr id="2" name="/ImageGen.ashx?image=/media/190991/xt35-cross.jpg&amp;Height=310&amp;Text=&amp;Align=center&amp;FontSize=7" descr=""/>
                    <pic:cNvPicPr>
                      <a:picLocks noChangeAspect="1" noChangeArrowheads="1"/>
                    </pic:cNvPicPr>
                  </pic:nvPicPr>
                  <pic:blipFill>
                    <a:blip r:embed="R58301baec2314f1d"/>
                    <a:srcRect/>
                    <a:stretch>
                      <a:fillRect/>
                    </a:stretch>
                  </pic:blipFill>
                  <pic:spPr bwMode="auto">
                    <a:xfrm>
                      <a:off x="0" y="0"/>
                      <a:ext cx="2952750" cy="2952750"/>
                    </a:xfrm>
                    <a:prstGeom prst="rect">
                      <a:avLst/>
                    </a:prstGeom>
                  </pic:spPr>
                </pic:pic>
              </a:graphicData>
            </a:graphic>
          </wp:inline>
        </w:drawing>
      </w:r>
    </w:p>
    <w:p>
      <w:r>
        <w:drawing>
          <wp:inline distT="0" distB="0" distL="0" distR="0">
            <wp:extent cx="1162050" cy="1276350"/>
            <wp:effectExtent l="19050" t="0" r="0" b="0"/>
            <wp:docPr id="6" name="/media/190986/Logo-Hydroprotect.jpg" descr=""/>
            <wp:cNvGraphicFramePr>
              <a:graphicFrameLocks noChangeAspect="1"/>
            </wp:cNvGraphicFramePr>
            <a:graphic>
              <a:graphicData uri="http://schemas.openxmlformats.org/drawingml/2006/picture">
                <pic:pic>
                  <pic:nvPicPr>
                    <pic:cNvPr id="3" name="/media/190986/Logo-Hydroprotect.jpg" descr="Logo Hydroprotect"/>
                    <pic:cNvPicPr>
                      <a:picLocks noChangeAspect="1" noChangeArrowheads="1"/>
                    </pic:cNvPicPr>
                  </pic:nvPicPr>
                  <pic:blipFill>
                    <a:blip r:embed="R0127abc8f7724a8e"/>
                    <a:srcRect/>
                    <a:stretch>
                      <a:fillRect/>
                    </a:stretch>
                  </pic:blipFill>
                  <pic:spPr bwMode="auto">
                    <a:xfrm>
                      <a:off x="0" y="0"/>
                      <a:ext cx="1162050" cy="1276350"/>
                    </a:xfrm>
                    <a:prstGeom prst="rect">
                      <a:avLst/>
                    </a:prstGeom>
                  </pic:spPr>
                </pic:pic>
              </a:graphicData>
            </a:graphic>
          </wp:inline>
        </w:drawing>
      </w:r>
      <w:r>
        <w:br/>
      </w:r>
      <w:r>
        <w:t xml:space="preserve">De XT35 CROSS maakt voor het eerst de combinatie mogelijk van doorslijpen en afbramen in één arbeidsgang - met een dikte van slechts 1,9 mm! De weefsellagen over het gehele oppervlak zorgen voor een goede wapening en extreem hoge zijwaartse belastbaarheid. Door eenvoudig de aanzethoek te veranderen kunnen slijpwerkzaamheden zoals afbramen en afkanten veilig worden uitgevoerd zonder direct na het doorslijpen van machine of schijf te wisselen.</w:t>
      </w:r>
    </w:p>
    <w:p>
      <w:r>
        <w:t xml:space="preserve">Materiaal</w:t>
      </w:r>
    </w:p>
    <w:p>
      <w:pPr>
        <w:pStyle w:val="ListParagraph"/>
        <w:spacing w:after="0"/>
        <w:ind w:left="0" w:hanging="357"/>
        <w:numPr>
          <w:ilvl w:val="0"/>
          <w:numId w:val="2"/>
        </w:numPr>
      </w:pPr>
      <w:r>
        <w:t xml:space="preserve">Roest- en zuurbestendige staalsoorten</w:t>
      </w:r>
    </w:p>
    <w:p>
      <w:pPr>
        <w:pStyle w:val="ListParagraph"/>
        <w:spacing w:after="0"/>
        <w:ind w:left="0" w:hanging="357"/>
        <w:numPr>
          <w:ilvl w:val="0"/>
          <w:numId w:val="2"/>
        </w:numPr>
      </w:pPr>
      <w:r>
        <w:t xml:space="preserve">Geharde, hooggelegeerde en trekvaste staalsoorten</w:t>
      </w:r>
    </w:p>
    <w:p>
      <w:pPr>
        <w:pStyle w:val="ListParagraph"/>
        <w:spacing w:after="0"/>
        <w:ind w:left="0" w:hanging="357"/>
        <w:numPr>
          <w:ilvl w:val="0"/>
          <w:numId w:val="2"/>
        </w:numPr>
      </w:pPr>
      <w:r>
        <w:t xml:space="preserve">Gereedschapstaal</w:t>
      </w:r>
    </w:p>
    <w:p>
      <w:pPr>
        <w:pStyle w:val="ListParagraph"/>
        <w:spacing w:after="0"/>
        <w:ind w:left="0" w:hanging="357"/>
        <w:numPr>
          <w:ilvl w:val="0"/>
          <w:numId w:val="2"/>
        </w:numPr>
      </w:pPr>
      <w:r>
        <w:t xml:space="preserve">Bouwstaal</w:t>
      </w:r>
    </w:p>
    <w:p>
      <w:pPr>
        <w:pStyle w:val="ListParagraph"/>
        <w:spacing w:after="0"/>
        <w:ind w:left="0" w:hanging="357"/>
        <w:numPr>
          <w:ilvl w:val="0"/>
          <w:numId w:val="2"/>
        </w:numPr>
      </w:pPr>
      <w:r>
        <w:t xml:space="preserve">Verzinkte delen</w:t>
      </w:r>
    </w:p>
    <w:p>
      <w:pPr>
        <w:pStyle w:val="ListParagraph"/>
        <w:spacing w:after="0"/>
        <w:ind w:left="0" w:hanging="357"/>
        <w:numPr>
          <w:ilvl w:val="0"/>
          <w:numId w:val="2"/>
        </w:numPr>
      </w:pPr>
      <w:r>
        <w:t xml:space="preserve">Gelakt plaatmateriaal</w:t>
      </w:r>
    </w:p>
    <w:p>
      <w:pPr>
        <w:pStyle w:val="ListParagraph"/>
        <w:spacing w:after="0"/>
        <w:ind w:left="0" w:hanging="357"/>
        <w:numPr>
          <w:ilvl w:val="0"/>
          <w:numId w:val="2"/>
        </w:numPr>
      </w:pPr>
      <w:r>
        <w:t xml:space="preserve">Plaatmateriaal met hoge trekvastheid</w:t>
      </w:r>
    </w:p>
    <w:p>
      <w:pPr>
        <w:pStyle w:val="ListParagraph"/>
        <w:spacing w:after="0"/>
        <w:ind w:left="0" w:hanging="357"/>
        <w:numPr>
          <w:ilvl w:val="0"/>
          <w:numId w:val="2"/>
        </w:numPr>
      </w:pPr>
      <w:r>
        <w:t xml:space="preserve">Hardox</w:t>
      </w:r>
    </w:p>
    <w:p>
      <w:r>
        <w:t xml:space="preserve">Toepassingsmogelijkheden</w:t>
      </w:r>
    </w:p>
    <w:p>
      <w:pPr>
        <w:pStyle w:val="ListParagraph"/>
        <w:spacing w:after="0"/>
        <w:ind w:left="0" w:hanging="357"/>
        <w:numPr>
          <w:ilvl w:val="0"/>
          <w:numId w:val="3"/>
        </w:numPr>
      </w:pPr>
      <w:r>
        <w:t xml:space="preserve">Doorslijpen</w:t>
      </w:r>
    </w:p>
    <w:p>
      <w:pPr>
        <w:pStyle w:val="ListParagraph"/>
        <w:spacing w:after="0"/>
        <w:ind w:left="0" w:hanging="357"/>
        <w:numPr>
          <w:ilvl w:val="0"/>
          <w:numId w:val="3"/>
        </w:numPr>
      </w:pPr>
      <w:r>
        <w:t xml:space="preserve">Afschuinen</w:t>
      </w:r>
    </w:p>
    <w:p>
      <w:pPr>
        <w:pStyle w:val="ListParagraph"/>
        <w:spacing w:after="0"/>
        <w:ind w:left="0" w:hanging="357"/>
        <w:numPr>
          <w:ilvl w:val="0"/>
          <w:numId w:val="3"/>
        </w:numPr>
      </w:pPr>
      <w:r>
        <w:t xml:space="preserve">Afbramen</w:t>
      </w:r>
    </w:p>
    <w:p>
      <w:pPr>
        <w:pStyle w:val="ListParagraph"/>
        <w:spacing w:after="0"/>
        <w:ind w:left="0" w:hanging="357"/>
        <w:numPr>
          <w:ilvl w:val="0"/>
          <w:numId w:val="3"/>
        </w:numPr>
      </w:pPr>
      <w:r>
        <w:t xml:space="preserve">Afslijpen</w:t>
      </w:r>
    </w:p>
    <w:p>
      <w:pPr>
        <w:pStyle w:val="ListParagraph"/>
        <w:spacing w:after="0"/>
        <w:ind w:left="0" w:hanging="357"/>
        <w:numPr>
          <w:ilvl w:val="0"/>
          <w:numId w:val="3"/>
        </w:numPr>
      </w:pPr>
      <w:r>
        <w:t xml:space="preserve">Massieve materialen</w:t>
      </w:r>
    </w:p>
    <w:p>
      <w:pPr>
        <w:pStyle w:val="ListParagraph"/>
        <w:spacing w:after="0"/>
        <w:ind w:left="0" w:hanging="357"/>
        <w:numPr>
          <w:ilvl w:val="0"/>
          <w:numId w:val="3"/>
        </w:numPr>
      </w:pPr>
      <w:r>
        <w:t xml:space="preserve">Dunne platen, pijpen en profielen</w:t>
      </w:r>
    </w:p>
    <w:p>
      <w:pPr>
        <w:pStyle w:val="ListParagraph"/>
        <w:spacing w:after="0"/>
        <w:ind w:left="0" w:hanging="357"/>
        <w:numPr>
          <w:ilvl w:val="0"/>
          <w:numId w:val="3"/>
        </w:numPr>
      </w:pPr>
      <w:r>
        <w:t xml:space="preserve">Platen met kunststofcoating</w:t>
      </w:r>
    </w:p>
    <w:p>
      <w:pPr>
        <w:pStyle w:val="ListParagraph"/>
        <w:spacing w:after="0"/>
        <w:ind w:left="0" w:hanging="357"/>
        <w:numPr>
          <w:ilvl w:val="0"/>
          <w:numId w:val="3"/>
        </w:numPr>
      </w:pPr>
      <w:r>
        <w:t xml:space="preserve">Slaatbouwmatten / betonstaal</w:t>
      </w:r>
    </w:p>
    <w:p>
      <w:pPr>
        <w:pStyle w:val="ListParagraph"/>
        <w:spacing w:after="0"/>
        <w:ind w:left="0" w:hanging="357"/>
        <w:numPr>
          <w:ilvl w:val="0"/>
          <w:numId w:val="3"/>
        </w:numPr>
      </w:pPr>
      <w:r>
        <w:t xml:space="preserve">Buizen met felsnaad</w:t>
      </w:r>
    </w:p>
    <w:tbl>
      <w:tblPr>
        <w:tblBorders>
          <w:top w:val="single"/>
          <w:left w:val="single"/>
          <w:right w:val="single"/>
          <w:bottom w:val="single"/>
          <w:insideH w:val="single"/>
          <w:insideV w:val="single"/>
        </w:tblBorders>
        <w:tblW w:w="5000" w:type="pct"/>
        <w:tblCellSpacing w:w="0" w:type="dxa"/>
      </w:tblPr>
      <w:tblGrid>
        <w:gridCol/>
      </w:tblGrid>
      <w:tr>
        <w:tc>
          <w:tcPr>
            <w:gridSpan w:val="3"/>
            <w:rStyle w:val="Koptekst"/>
            <w:rStyle w:val="Koptekst"/>
          </w:tcPr>
          <w:p>
            <w:r>
              <w:rPr>
                <w:rStyle w:val="Koptekst"/>
              </w:rPr>
              <w:t xml:space="preserve">XTK35 CROSS  A46U9BF1432 </w:t>
            </w:r>
          </w:p>
        </w:tc>
      </w:tr>
      <w:tr>
        <w:tc>
          <w:tcPr>
            <w:rStyle w:val="Koptekst"/>
            <w:rStyle w:val="Koptekst"/>
          </w:tcPr>
          <w:p/>
        </w:tc>
        <w:tc>
          <w:tcPr>
            <w:rStyle w:val="Koptekst"/>
            <w:rStyle w:val="Koptekst"/>
          </w:tcPr>
          <w:p/>
        </w:tc>
        <w:tc>
          <w:tcPr>
            <w:rStyle w:val="Koptekst"/>
            <w:rStyle w:val="Koptekst"/>
          </w:tcPr>
          <w:p/>
        </w:tc>
      </w:tr>
      <w:tr>
        <w:tc>
          <w:tcPr/>
          <w:p>
            <w:r>
              <w:t xml:space="preserve">115 x 1,9 x 22,23</w:t>
            </w:r>
          </w:p>
        </w:tc>
        <w:tc>
          <w:tcPr/>
          <w:p>
            <w:r>
              <w:t xml:space="preserve">25</w:t>
            </w:r>
          </w:p>
        </w:tc>
        <w:tc>
          <w:tcPr/>
          <w:p>
            <w:r>
              <w:t xml:space="preserve">208372</w:t>
            </w:r>
          </w:p>
        </w:tc>
      </w:tr>
      <w:tr>
        <w:tc>
          <w:tcPr/>
          <w:p>
            <w:r>
              <w:t xml:space="preserve">125 x 1,9 x 22,23</w:t>
            </w:r>
          </w:p>
        </w:tc>
        <w:tc>
          <w:tcPr/>
          <w:p>
            <w:r>
              <w:t xml:space="preserve">25</w:t>
            </w:r>
          </w:p>
        </w:tc>
        <w:tc>
          <w:tcPr/>
          <w:p>
            <w:r>
              <w:t xml:space="preserve">208373</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58301baec2314f1d" /><Relationship Type="http://schemas.openxmlformats.org/officeDocument/2006/relationships/image" Target="/media/image4.jpg" Id="R0127abc8f7724a8e" /><Relationship Type="http://schemas.openxmlformats.org/officeDocument/2006/relationships/numbering" Target="/word/numbering.xml" Id="Rf7c056d8a982438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