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KF250</w:t>
      </w:r>
    </w:p>
    <w:p>
      <w:r>
        <w:drawing>
          <wp:inline distT="0" distB="0" distL="0" distR="0">
            <wp:extent cx="1190625" cy="2952750"/>
            <wp:effectExtent l="19050" t="0" r="0" b="0"/>
            <wp:docPr id="5" name="/ImageGen.ashx?image=/media/18010/KF2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0/KF2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857dfdaed545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KF250</w:t>
            </w:r>
          </w:p>
        </w:tc>
      </w:tr>
      <w:tr>
        <w:tc>
          <w:tcPr/>
          <w:p>
            <w:r>
              <w:t xml:space="preserve">Boordiameter max.      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820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16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330x200x950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3,3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8857dfdaed545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