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2900c eco</w:t>
      </w:r>
    </w:p>
    <w:p>
      <w:r>
        <w:drawing>
          <wp:inline distT="0" distB="0" distL="0" distR="0">
            <wp:extent cx="1466850" cy="2952750"/>
            <wp:effectExtent l="19050" t="0" r="0" b="0"/>
            <wp:docPr id="5" name="/ImageGen.ashx?image=/media/397389/dc-2900c-eco.jpg&amp;Height=310&amp;Text=&amp;Align=center&amp;FontSize=7" descr=""/>
            <wp:cNvGraphicFramePr>
              <a:graphicFrameLocks noChangeAspect="1"/>
            </wp:cNvGraphicFramePr>
            <a:graphic>
              <a:graphicData uri="http://schemas.openxmlformats.org/drawingml/2006/picture">
                <pic:pic>
                  <pic:nvPicPr>
                    <pic:cNvPr id="2" name="/ImageGen.ashx?image=/media/397389/dc-2900c-eco.jpg&amp;Height=310&amp;Text=&amp;Align=center&amp;FontSize=7" descr=""/>
                    <pic:cNvPicPr>
                      <a:picLocks noChangeAspect="1" noChangeArrowheads="1"/>
                    </pic:cNvPicPr>
                  </pic:nvPicPr>
                  <pic:blipFill>
                    <a:blip r:embed="R2ff58ef0aae64a50"/>
                    <a:srcRect/>
                    <a:stretch>
                      <a:fillRect/>
                    </a:stretch>
                  </pic:blipFill>
                  <pic:spPr bwMode="auto">
                    <a:xfrm>
                      <a:off x="0" y="0"/>
                      <a:ext cx="1466850" cy="2952750"/>
                    </a:xfrm>
                    <a:prstGeom prst="rect">
                      <a:avLst/>
                    </a:prstGeom>
                  </pic:spPr>
                </pic:pic>
              </a:graphicData>
            </a:graphic>
          </wp:inline>
        </w:drawing>
      </w:r>
    </w:p>
    <w:p>
      <w:r>
        <w:rPr>
          <w:b/>
        </w:rPr>
        <w:t xml:space="preserve">DC 2900c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kunststof zak onder de unit. De filters en zakken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2900c </w:t>
      </w:r>
      <w:r>
        <w:rPr>
          <w:b/>
          <w:color w:val="009030"/>
        </w:rPr>
        <w:t xml:space="preserve">eco</w:t>
      </w:r>
    </w:p>
    <w:tbl>
      <w:tblPr>
        <w:tblW w:w="auto" w:type="pct"/>
      </w:tblPr>
      <w:tblGrid>
        <w:gridCol/>
        <w:gridCol/>
      </w:tblGrid>
      <w:tr>
        <w:tc>
          <w:tcPr/>
          <w:p>
            <w:r>
              <w:t xml:space="preserve">HxBxL mm</w:t>
            </w:r>
          </w:p>
        </w:tc>
        <w:tc>
          <w:tcPr/>
          <w:p>
            <w:r>
              <w:t xml:space="preserve">1070 x 420 x 510</w:t>
            </w:r>
          </w:p>
        </w:tc>
      </w:tr>
      <w:tr>
        <w:tc>
          <w:tcPr/>
          <w:p>
            <w:r>
              <w:t xml:space="preserve">Massa</w:t>
            </w:r>
          </w:p>
        </w:tc>
        <w:tc>
          <w:tcPr/>
          <w:p>
            <w:r>
              <w:t xml:space="preserve">14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20 L</w:t>
            </w:r>
          </w:p>
        </w:tc>
      </w:tr>
      <w:tr>
        <w:tc>
          <w:tcPr/>
          <w:p>
            <w:r>
              <w:t xml:space="preserve">Geluidsniveau</w:t>
            </w:r>
          </w:p>
        </w:tc>
        <w:tc>
          <w:tcPr/>
          <w:p>
            <w:r>
              <w:t xml:space="preserve">66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ff58ef0aae64a5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