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Coilnagel (5)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86/coilnagel-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86/coilnagel-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28504742c9d47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tacker C2865Mg (60 en 65mm)</w:t>
      </w:r>
      <w:r>
        <w:br/>
      </w:r>
      <w:r>
        <w:t xml:space="preserve">DutackPro tacker C3190Mg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uitvoering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5242008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60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</w:tr>
      <w:tr>
        <w:tc>
          <w:tcPr/>
          <w:p>
            <w:r>
              <w:t xml:space="preserve">5242009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65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</w:tr>
      <w:tr>
        <w:tc>
          <w:tcPr/>
          <w:p>
            <w:r>
              <w:t xml:space="preserve">5242011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75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</w:tr>
      <w:tr>
        <w:tc>
          <w:tcPr/>
          <w:p>
            <w:r>
              <w:t xml:space="preserve">5242012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80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</w:tr>
      <w:tr>
        <w:tc>
          <w:tcPr/>
          <w:p>
            <w:r>
              <w:t xml:space="preserve">5242013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90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28504742c9d470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