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Ballistische nagel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81/ballistische-nagel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81/ballistische-nagel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0ce380a09514f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gastacker S3040G90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5211001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16 mm</w:t>
            </w:r>
          </w:p>
        </w:tc>
        <w:tc>
          <w:tcPr>
            <w:tcW w:w="100" w:type="dxa"/>
            <w:vAlign w:val="top"/>
          </w:tcPr>
          <w:p>
            <w:r>
              <w:t xml:space="preserve">hard staal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  <w:tr>
        <w:tc>
          <w:tcPr/>
          <w:p>
            <w:r>
              <w:t xml:space="preserve">5211002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19 mm</w:t>
            </w:r>
          </w:p>
        </w:tc>
        <w:tc>
          <w:tcPr>
            <w:tcW w:w="100" w:type="dxa"/>
            <w:vAlign w:val="top"/>
          </w:tcPr>
          <w:p>
            <w:r>
              <w:t xml:space="preserve">hard staal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  <w:tr>
        <w:tc>
          <w:tcPr/>
          <w:p>
            <w:r>
              <w:t xml:space="preserve">5211003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22 mm</w:t>
            </w:r>
          </w:p>
        </w:tc>
        <w:tc>
          <w:tcPr>
            <w:tcW w:w="100" w:type="dxa"/>
            <w:vAlign w:val="top"/>
          </w:tcPr>
          <w:p>
            <w:r>
              <w:t xml:space="preserve">hard staal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  <w:tr>
        <w:tc>
          <w:tcPr/>
          <w:p>
            <w:r>
              <w:t xml:space="preserve">5211004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25 mm</w:t>
            </w:r>
          </w:p>
        </w:tc>
        <w:tc>
          <w:tcPr>
            <w:tcW w:w="100" w:type="dxa"/>
            <w:vAlign w:val="top"/>
          </w:tcPr>
          <w:p>
            <w:r>
              <w:t xml:space="preserve">hard staal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  <w:tr>
        <w:tc>
          <w:tcPr/>
          <w:p>
            <w:r>
              <w:t xml:space="preserve">5211005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32 mm</w:t>
            </w:r>
          </w:p>
        </w:tc>
        <w:tc>
          <w:tcPr>
            <w:tcW w:w="100" w:type="dxa"/>
            <w:vAlign w:val="top"/>
          </w:tcPr>
          <w:p>
            <w:r>
              <w:t xml:space="preserve">hard staal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  <w:tr>
        <w:tc>
          <w:tcPr/>
          <w:p>
            <w:r>
              <w:t xml:space="preserve">5211006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37 mm</w:t>
            </w:r>
          </w:p>
        </w:tc>
        <w:tc>
          <w:tcPr>
            <w:tcW w:w="100" w:type="dxa"/>
            <w:vAlign w:val="top"/>
          </w:tcPr>
          <w:p>
            <w:r>
              <w:t xml:space="preserve">hard staal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0ce380a09514f2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