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Draadnagel (1)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74/draadnagel-1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74/draadnagel-1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464cb6a1ce642d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gastacker S3390G34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5150020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</w:tr>
      <w:tr>
        <w:tc>
          <w:tcPr/>
          <w:p>
            <w:r>
              <w:t xml:space="preserve">5150021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60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</w:tr>
      <w:tr>
        <w:tc>
          <w:tcPr/>
          <w:p>
            <w:r>
              <w:t xml:space="preserve">5150022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65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5150027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70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  <w:tr>
        <w:tc>
          <w:tcPr/>
          <w:p>
            <w:r>
              <w:t xml:space="preserve">5150023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75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464cb6a1ce642d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