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5/7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5/7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97bbd838cf4a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 tacker NT750H (t/m 50mm)</w:t>
      </w:r>
      <w:r>
        <w:br/>
      </w:r>
      <w:r>
        <w:t xml:space="preserve">DutackPro tacker N750Mg (t/m 50mm)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</w:tr>
      <w:tr>
        <w:tc>
          <w:tcPr/>
          <w:p>
            <w:r>
              <w:t xml:space="preserve">5056038</w:t>
            </w:r>
          </w:p>
        </w:tc>
        <w:tc>
          <w:tcPr>
            <w:tcW w:w="100" w:type="dxa"/>
            <w:vAlign w:val="top"/>
          </w:tcPr>
          <w:p>
            <w:r>
              <w:t xml:space="preserve">20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5056039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5056040</w:t>
            </w:r>
          </w:p>
        </w:tc>
        <w:tc>
          <w:tcPr>
            <w:tcW w:w="100" w:type="dxa"/>
            <w:vAlign w:val="top"/>
          </w:tcPr>
          <w:p>
            <w:r>
              <w:t xml:space="preserve">30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5056041</w:t>
            </w:r>
          </w:p>
        </w:tc>
        <w:tc>
          <w:tcPr>
            <w:tcW w:w="100" w:type="dxa"/>
            <w:vAlign w:val="top"/>
          </w:tcPr>
          <w:p>
            <w:r>
              <w:t xml:space="preserve">35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5056042</w:t>
            </w:r>
          </w:p>
        </w:tc>
        <w:tc>
          <w:tcPr>
            <w:tcW w:w="100" w:type="dxa"/>
            <w:vAlign w:val="top"/>
          </w:tcPr>
          <w:p>
            <w:r>
              <w:t xml:space="preserve">40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5056043</w:t>
            </w:r>
          </w:p>
        </w:tc>
        <w:tc>
          <w:tcPr>
            <w:tcW w:w="100" w:type="dxa"/>
            <w:vAlign w:val="top"/>
          </w:tcPr>
          <w:p>
            <w:r>
              <w:t xml:space="preserve">45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5056044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5056047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5056045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  <w:tr>
        <w:tc>
          <w:tcPr/>
          <w:p>
            <w:r>
              <w:t xml:space="preserve">5056046</w:t>
            </w:r>
          </w:p>
        </w:tc>
        <w:tc>
          <w:tcPr>
            <w:tcW w:w="100" w:type="dxa"/>
            <w:vAlign w:val="top"/>
          </w:tcPr>
          <w:p>
            <w:r>
              <w:t xml:space="preserve">64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a97bbd838cf4ae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