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T-nagel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72/t-nagel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72/t-nagel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c2cace6571d4e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 tacker TN2264H (vanaf 25 mm.)</w:t>
      </w:r>
      <w:r>
        <w:br/>
      </w:r>
      <w:r>
        <w:t xml:space="preserve">DutackPro tacker T2264Mg (vanaf 25 mm.)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  <w:tc>
          <w:tcPr>
            <w:tcW w:w="100" w:type="dxa"/>
            <w:vAlign w:val="top"/>
          </w:tcPr>
          <w:p>
            <w:r>
              <w:t xml:space="preserve">voordeelverpakking</w:t>
            </w:r>
          </w:p>
        </w:tc>
      </w:tr>
      <w:tr>
        <w:tc>
          <w:tcPr/>
          <w:p>
            <w:r>
              <w:t xml:space="preserve">5220034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18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2000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5220035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25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2000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5220036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28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2000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5220037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32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2000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5220056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32 mm</w:t>
            </w:r>
          </w:p>
        </w:tc>
        <w:tc>
          <w:tcPr>
            <w:tcW w:w="100" w:type="dxa"/>
            <w:vAlign w:val="top"/>
          </w:tcPr>
          <w:p>
            <w:r>
              <w:t xml:space="preserve">staal</w:t>
            </w:r>
          </w:p>
        </w:tc>
        <w:tc>
          <w:tcPr>
            <w:tcW w:w="100" w:type="dxa"/>
            <w:vAlign w:val="top"/>
          </w:tcPr>
          <w:p>
            <w:r>
              <w:t xml:space="preserve">2000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5220038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38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5220050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38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5220054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38 mm</w:t>
            </w:r>
          </w:p>
        </w:tc>
        <w:tc>
          <w:tcPr>
            <w:tcW w:w="100" w:type="dxa"/>
            <w:vAlign w:val="top"/>
          </w:tcPr>
          <w:p>
            <w:r>
              <w:t xml:space="preserve">staal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5220039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45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5220040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5220051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5220055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staal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5220041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57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5220052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60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5220043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64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5220053</w:t>
            </w:r>
          </w:p>
        </w:tc>
        <w:tc>
          <w:tcPr>
            <w:tcW w:w="100" w:type="dxa"/>
            <w:vAlign w:val="top"/>
          </w:tcPr>
          <w:p>
            <w:r>
              <w:t xml:space="preserve">2,2 mm</w:t>
            </w:r>
          </w:p>
        </w:tc>
        <w:tc>
          <w:tcPr>
            <w:tcW w:w="100" w:type="dxa"/>
            <w:vAlign w:val="top"/>
          </w:tcPr>
          <w:p>
            <w:r>
              <w:t xml:space="preserve">64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c2cace6571d4e8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