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6041005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263600/6041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0/6041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3b4eef3a6845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1,8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3b4eef3a6845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