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Master STU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479225/stu-master_350075_oe125_2018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79225/stu-master_350075_oe125_2018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551b52751b2149c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Premium-komschijf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Met inductief gelaste segmenten voor trillingsarm werken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Maximale slijpprestaties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Zeer licht slijpend</w:t>
      </w:r>
    </w:p>
    <w:p>
      <w:r>
        <w:t xml:space="preserve">Toepassing: Beton, betonproducten, dekvloer, tegellijm, pleisterwerk.</w:t>
      </w:r>
    </w:p>
    <w:tbl>
      <w:tblPr>
        <w:tblBorders>
          <w:top w:val="single"/>
          <w:left w:val="single"/>
          <w:right w:val="single"/>
          <w:bottom w:val="single"/>
          <w:insideH w:val="single"/>
          <w:insideV w:val="single"/>
        </w:tblBorders>
        <w:tblW w:w="auto" w:type="pct"/>
        <w:tblCellSpacing w:w="1" w:type="dxa"/>
        <w:tblInd w:w="1" w:type="dxa"/>
      </w:tblPr>
      <w:tblGrid>
        <w:gridCol/>
        <w:gridCol/>
        <w:gridCol/>
        <w:gridCol/>
        <w:gridCol/>
      </w:tblGrid>
      <w:tr>
        <w:tc>
          <w:tcPr/>
          <w:p>
            <w:r>
              <w:rPr>
                <w:b/>
              </w:rPr>
              <w:t xml:space="preserve">Artikelnummer</w:t>
            </w:r>
          </w:p>
        </w:tc>
        <w:tc>
          <w:tcPr/>
          <w:p>
            <w:r>
              <w:rPr>
                <w:b/>
              </w:rPr>
              <w:t xml:space="preserve">Diameter (mm)</w:t>
            </w:r>
          </w:p>
        </w:tc>
        <w:tc>
          <w:tcPr/>
          <w:p>
            <w:r>
              <w:rPr>
                <w:b/>
              </w:rPr>
              <w:t xml:space="preserve">Asgat     </w:t>
            </w:r>
          </w:p>
        </w:tc>
        <w:tc>
          <w:tcPr/>
          <w:p>
            <w:r>
              <w:rPr>
                <w:b/>
              </w:rPr>
              <w:t xml:space="preserve">Aantal segmenten</w:t>
            </w:r>
          </w:p>
        </w:tc>
        <w:tc>
          <w:tcPr/>
          <w:p>
            <w:r>
              <w:rPr>
                <w:b/>
              </w:rPr>
              <w:t xml:space="preserve">Totaal hoogte (mm)</w:t>
            </w:r>
          </w:p>
        </w:tc>
      </w:tr>
      <w:tr>
        <w:tc>
          <w:tcPr/>
          <w:p>
            <w:r>
              <w:t xml:space="preserve">S350073</w:t>
            </w:r>
          </w:p>
        </w:tc>
        <w:tc>
          <w:tcPr/>
          <w:p>
            <w:r>
              <w:t xml:space="preserve">100</w:t>
            </w:r>
          </w:p>
        </w:tc>
        <w:tc>
          <w:tcPr/>
          <w:p>
            <w:r>
              <w:t xml:space="preserve">22.23</w:t>
            </w:r>
          </w:p>
        </w:tc>
        <w:tc>
          <w:tcPr/>
          <w:p>
            <w:r>
              <w:t xml:space="preserve">6</w:t>
            </w:r>
          </w:p>
        </w:tc>
        <w:tc>
          <w:tcPr/>
          <w:p>
            <w:r>
              <w:t xml:space="preserve">22</w:t>
            </w:r>
          </w:p>
        </w:tc>
      </w:tr>
      <w:tr>
        <w:tc>
          <w:tcPr/>
          <w:p>
            <w:r>
              <w:t xml:space="preserve">S350074</w:t>
            </w:r>
          </w:p>
        </w:tc>
        <w:tc>
          <w:tcPr/>
          <w:p>
            <w:r>
              <w:t xml:space="preserve">115</w:t>
            </w:r>
          </w:p>
        </w:tc>
        <w:tc>
          <w:tcPr/>
          <w:p>
            <w:r>
              <w:t xml:space="preserve">22.23</w:t>
            </w:r>
          </w:p>
        </w:tc>
        <w:tc>
          <w:tcPr/>
          <w:p>
            <w:r>
              <w:t xml:space="preserve">6</w:t>
            </w:r>
          </w:p>
        </w:tc>
        <w:tc>
          <w:tcPr/>
          <w:p>
            <w:r>
              <w:t xml:space="preserve">22</w:t>
            </w:r>
          </w:p>
        </w:tc>
      </w:tr>
      <w:tr>
        <w:tc>
          <w:tcPr/>
          <w:p>
            <w:r>
              <w:t xml:space="preserve">S350075</w:t>
            </w:r>
          </w:p>
        </w:tc>
        <w:tc>
          <w:tcPr/>
          <w:p>
            <w:r>
              <w:t xml:space="preserve">125</w:t>
            </w:r>
          </w:p>
        </w:tc>
        <w:tc>
          <w:tcPr/>
          <w:p>
            <w:r>
              <w:t xml:space="preserve">22.23</w:t>
            </w:r>
          </w:p>
        </w:tc>
        <w:tc>
          <w:tcPr/>
          <w:p>
            <w:r>
              <w:t xml:space="preserve">7</w:t>
            </w:r>
          </w:p>
        </w:tc>
        <w:tc>
          <w:tcPr/>
          <w:p>
            <w:r>
              <w:t xml:space="preserve">22</w:t>
            </w:r>
          </w:p>
        </w:tc>
      </w:tr>
      <w:tr>
        <w:tc>
          <w:tcPr/>
          <w:p>
            <w:r>
              <w:t xml:space="preserve">S350076</w:t>
            </w:r>
          </w:p>
        </w:tc>
        <w:tc>
          <w:tcPr/>
          <w:p>
            <w:r>
              <w:t xml:space="preserve">150</w:t>
            </w:r>
          </w:p>
        </w:tc>
        <w:tc>
          <w:tcPr/>
          <w:p>
            <w:r>
              <w:t xml:space="preserve">19</w:t>
            </w:r>
          </w:p>
        </w:tc>
        <w:tc>
          <w:tcPr/>
          <w:p>
            <w:r>
              <w:t xml:space="preserve">9</w:t>
            </w:r>
          </w:p>
        </w:tc>
        <w:tc>
          <w:tcPr/>
          <w:p>
            <w:r>
              <w:t xml:space="preserve">22</w:t>
            </w:r>
          </w:p>
        </w:tc>
      </w:tr>
      <w:tr>
        <w:tc>
          <w:tcPr/>
          <w:p>
            <w:r>
              <w:t xml:space="preserve">S350077</w:t>
            </w:r>
          </w:p>
        </w:tc>
        <w:tc>
          <w:tcPr/>
          <w:p>
            <w:r>
              <w:t xml:space="preserve">180</w:t>
            </w:r>
          </w:p>
        </w:tc>
        <w:tc>
          <w:tcPr/>
          <w:p>
            <w:r>
              <w:t xml:space="preserve">22.23</w:t>
            </w:r>
          </w:p>
        </w:tc>
        <w:tc>
          <w:tcPr/>
          <w:p>
            <w:r>
              <w:t xml:space="preserve">10</w:t>
            </w:r>
          </w:p>
        </w:tc>
        <w:tc>
          <w:tcPr/>
          <w:p>
            <w:r>
              <w:t xml:space="preserve">30</w:t>
            </w:r>
          </w:p>
        </w:tc>
      </w:tr>
      <w:tr>
        <w:tc>
          <w:tcPr/>
          <w:p>
            <w:r>
              <w:t xml:space="preserve">S350078</w:t>
            </w:r>
          </w:p>
        </w:tc>
        <w:tc>
          <w:tcPr/>
          <w:p>
            <w:r>
              <w:t xml:space="preserve">180 flat</w:t>
            </w:r>
          </w:p>
        </w:tc>
        <w:tc>
          <w:tcPr/>
          <w:p>
            <w:r>
              <w:t xml:space="preserve">22.23</w:t>
            </w:r>
          </w:p>
        </w:tc>
        <w:tc>
          <w:tcPr/>
          <w:p>
            <w:r>
              <w:t xml:space="preserve">10</w:t>
            </w:r>
          </w:p>
        </w:tc>
        <w:tc>
          <w:tcPr/>
          <w:p>
            <w:r>
              <w:t xml:space="preserve">22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551b52751b2149c1" /><Relationship Type="http://schemas.openxmlformats.org/officeDocument/2006/relationships/numbering" Target="/word/numbering.xml" Id="R1cd533131db04c4b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