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FFPR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1/ffp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1/ffp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e1025bb49a4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binding, zeer lange levensduur voor dagelijks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N2924324    </w:t>
            </w:r>
          </w:p>
        </w:tc>
        <w:tc>
          <w:tcPr>
            <w:tcW w:w="565" w:type="dxa"/>
          </w:tcPr>
          <w:p>
            <w:r>
              <w:t xml:space="preserve">6701020 - Diamantvoegenzaagblad Ø115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N2924325</w:t>
            </w:r>
          </w:p>
        </w:tc>
        <w:tc>
          <w:tcPr/>
          <w:p>
            <w:r>
              <w:t xml:space="preserve">6701021 - Diamantvoegenzaagblad Ø115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N2924330</w:t>
            </w:r>
          </w:p>
        </w:tc>
        <w:tc>
          <w:tcPr/>
          <w:p>
            <w:r>
              <w:t xml:space="preserve">6701022 - Diamantvoegenzaagblad Ø115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N2924331</w:t>
            </w:r>
          </w:p>
        </w:tc>
        <w:tc>
          <w:tcPr/>
          <w:p>
            <w:r>
              <w:t xml:space="preserve">6701023 - Diamantvoegenzaagblad Ø115 x 22,23 mm / 10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N2924334</w:t>
            </w:r>
          </w:p>
        </w:tc>
        <w:tc>
          <w:tcPr/>
          <w:p>
            <w:r>
              <w:t xml:space="preserve">6701030 - Diamantvoegenzaagblad Ø125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N2924335</w:t>
            </w:r>
          </w:p>
        </w:tc>
        <w:tc>
          <w:tcPr/>
          <w:p>
            <w:r>
              <w:t xml:space="preserve">6701031 - Diamantvoegenzaagblad Ø125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N2924336</w:t>
            </w:r>
          </w:p>
        </w:tc>
        <w:tc>
          <w:tcPr/>
          <w:p>
            <w:r>
              <w:t xml:space="preserve">6701032 - Diamantvoegenzaagblad Ø125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N2924338</w:t>
            </w:r>
          </w:p>
        </w:tc>
        <w:tc>
          <w:tcPr/>
          <w:p>
            <w:r>
              <w:t xml:space="preserve">6701033 - Diamantvoegenzaagblad Ø125 x 22,23 mm / 10 mm / FFPR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e1025bb49a4222" /><Relationship Type="http://schemas.openxmlformats.org/officeDocument/2006/relationships/numbering" Target="/word/numbering.xml" Id="Rc59deebd471342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