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Rhino-Protect zaagblad</w:t>
      </w:r>
    </w:p>
    <w:p>
      <w:r>
        <w:drawing>
          <wp:inline distT="0" distB="0" distL="0" distR="0">
            <wp:extent cx="2914650" cy="2952750"/>
            <wp:effectExtent l="19050" t="0" r="0" b="0"/>
            <wp:docPr id="5" name="/ImageGen.ashx?image=/media/397409/rhino-protec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09/rhino-protec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ef294fac72d4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Alle gangbare bouwmaterialen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783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460" w:type="dxa"/>
          </w:tcPr>
          <w:p>
            <w:r>
              <w:t xml:space="preserve">N6360130</w:t>
            </w:r>
          </w:p>
        </w:tc>
        <w:tc>
          <w:tcPr>
            <w:tcW w:w="11440" w:type="dxa"/>
          </w:tcPr>
          <w:p>
            <w:r>
              <w:t xml:space="preserve">6360130 - Dia-TS / 350/25,4 / Rhino-Protect 40 x 3,5 x 10 mm</w:t>
            </w:r>
            <w:r>
              <w:br/>
            </w:r>
            <w:r>
              <w:t xml:space="preserve">24 Segmente / Profi Line / Heat-Control-System (HCS)</w:t>
            </w:r>
          </w:p>
        </w:tc>
      </w:tr>
    </w:tbl>
    <w:p>
      <w:r>
        <w:rPr>
          <w:b/>
        </w:rPr>
        <w:t xml:space="preserve">HEAT-CONTROL-SYSTEM</w:t>
      </w:r>
    </w:p>
    <w:p>
      <w:r>
        <w:t xml:space="preserve">STOPPEN BIJ ROOD!</w:t>
      </w:r>
    </w:p>
    <w:p>
      <w:r>
        <w:br/>
      </w:r>
      <w:r>
        <w:br/>
      </w:r>
      <w:r>
        <w:t xml:space="preserve">Kleurt rood bij: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gebogen zagen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onbalans van het zaagblad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overbelasting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continue werken</w:t>
      </w:r>
    </w:p>
    <w:p>
      <w:r>
        <w:t xml:space="preserve">Indicator</w:t>
      </w:r>
      <w:r>
        <w:t xml:space="preserve"> </w:t>
      </w:r>
      <w:r>
        <w:t xml:space="preserve">informeert</w:t>
      </w:r>
      <w:r>
        <w:t xml:space="preserve"> </w:t>
      </w:r>
      <w:r>
        <w:t xml:space="preserve">de werknemer</w:t>
      </w:r>
      <w:r>
        <w:t xml:space="preserve"> </w:t>
      </w:r>
      <w:r>
        <w:t xml:space="preserve">gebogen zagen en onbalans</w:t>
      </w:r>
      <w:r>
        <w:t xml:space="preserve">, ter voorkoming van</w:t>
      </w:r>
      <w:r>
        <w:t xml:space="preserve"> </w:t>
      </w:r>
      <w:r>
        <w:t xml:space="preserve">vervorming van metalen kern. </w:t>
      </w:r>
      <w:r>
        <w:t xml:space="preserve">Kleur verandering </w:t>
      </w:r>
      <w:r>
        <w:t xml:space="preserve">geeft aan dat het nodig is de positie van het blad</w:t>
      </w:r>
      <w:r>
        <w:t xml:space="preserve"> aan te passen</w:t>
      </w:r>
      <w:r>
        <w:t xml:space="preserve">.</w:t>
      </w:r>
    </w:p>
    <w:p>
      <w:r>
        <w:t xml:space="preserve">Indicator</w:t>
      </w:r>
      <w:r>
        <w:t xml:space="preserve"> </w:t>
      </w:r>
      <w:r>
        <w:t xml:space="preserve">informeert</w:t>
      </w:r>
      <w:r>
        <w:t xml:space="preserve"> </w:t>
      </w:r>
      <w:r>
        <w:t xml:space="preserve">de werknemer</w:t>
      </w:r>
      <w:r>
        <w:t xml:space="preserve"> </w:t>
      </w:r>
      <w:r>
        <w:t xml:space="preserve">over</w:t>
      </w:r>
      <w:r>
        <w:t xml:space="preserve"> </w:t>
      </w:r>
      <w:r>
        <w:t xml:space="preserve">de</w:t>
      </w:r>
      <w:r>
        <w:t xml:space="preserve"> </w:t>
      </w:r>
      <w:r>
        <w:t xml:space="preserve">overbelasting en</w:t>
      </w:r>
      <w:r>
        <w:t xml:space="preserve"> </w:t>
      </w:r>
      <w:r>
        <w:t xml:space="preserve">continu</w:t>
      </w:r>
      <w:r>
        <w:t xml:space="preserve"> </w:t>
      </w:r>
      <w:r>
        <w:t xml:space="preserve">werken,</w:t>
      </w:r>
      <w:r>
        <w:t xml:space="preserve"> </w:t>
      </w:r>
      <w:r>
        <w:t xml:space="preserve">het voorkomen van</w:t>
      </w:r>
      <w:r>
        <w:t xml:space="preserve"> </w:t>
      </w:r>
      <w:r>
        <w:t xml:space="preserve">oververhitting</w:t>
      </w:r>
      <w:r>
        <w:t xml:space="preserve"> </w:t>
      </w:r>
      <w:r>
        <w:t xml:space="preserve">van de diamant </w:t>
      </w:r>
      <w:r>
        <w:t xml:space="preserve">segmenten </w:t>
      </w:r>
      <w:r>
        <w:t xml:space="preserve">en</w:t>
      </w:r>
      <w:r>
        <w:t xml:space="preserve"> </w:t>
      </w:r>
      <w:r>
        <w:t xml:space="preserve">de vernietiging ervan</w:t>
      </w:r>
      <w:r>
        <w:t xml:space="preserve">.</w:t>
      </w:r>
      <w:r>
        <w:t xml:space="preserve"> </w:t>
      </w:r>
      <w:r>
        <w:t xml:space="preserve">Kleur verandering</w:t>
      </w:r>
      <w:r>
        <w:t xml:space="preserve"> </w:t>
      </w:r>
      <w:r>
        <w:t xml:space="preserve">geeft aan</w:t>
      </w:r>
      <w:r>
        <w:t xml:space="preserve"> om het zagen even te pauzeren</w:t>
      </w:r>
      <w:r>
        <w:t xml:space="preserve">,</w:t>
      </w:r>
      <w:r>
        <w:t xml:space="preserve"> </w:t>
      </w:r>
      <w:r>
        <w:t xml:space="preserve">of</w:t>
      </w:r>
      <w:r>
        <w:t xml:space="preserve"> </w:t>
      </w:r>
      <w:r>
        <w:t xml:space="preserve">de belasting te verminderen. </w:t>
      </w:r>
    </w:p>
    <w:p>
      <w:r>
        <w:drawing>
          <wp:inline distT="0" distB="0" distL="0" distR="0">
            <wp:extent cx="5419725" cy="2762250"/>
            <wp:effectExtent l="19050" t="0" r="0" b="0"/>
            <wp:docPr id="6" name="/media/397404/nozar-rhinozaros-produkt-linie_569x29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404/nozar-rhinozaros-produkt-linie_569x290.jpg" descr="Nozar -rhinozaros -produkt -linie"/>
                    <pic:cNvPicPr>
                      <a:picLocks noChangeAspect="1" noChangeArrowheads="1"/>
                    </pic:cNvPicPr>
                  </pic:nvPicPr>
                  <pic:blipFill>
                    <a:blip r:embed="R504556a8ac6e47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10200" cy="2390775"/>
            <wp:effectExtent l="19050" t="0" r="0" b="0"/>
            <wp:docPr id="7" name="/media/397403/rhino-protect-materialien_568x25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97403/rhino-protect-materialien_568x251.jpg" descr="Rhino -protect -materialien"/>
                    <pic:cNvPicPr>
                      <a:picLocks noChangeAspect="1" noChangeArrowheads="1"/>
                    </pic:cNvPicPr>
                  </pic:nvPicPr>
                  <pic:blipFill>
                    <a:blip r:embed="Rf75e24c9f224431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19725" cy="3695700"/>
            <wp:effectExtent l="19050" t="0" r="0" b="0"/>
            <wp:docPr id="8" name="/media/397401/nozar-rhino-protect-2_569x38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/media/397401/nozar-rhino-protect-2_569x388.jpg" descr="Nozar -rhino -protect 2 (1)"/>
                    <pic:cNvPicPr>
                      <a:picLocks noChangeAspect="1" noChangeArrowheads="1"/>
                    </pic:cNvPicPr>
                  </pic:nvPicPr>
                  <pic:blipFill>
                    <a:blip r:embed="Rd0646c2e963b49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ef294fac72d4344" /><Relationship Type="http://schemas.openxmlformats.org/officeDocument/2006/relationships/numbering" Target="/word/numbering.xml" Id="Rceb372e73e194851" /><Relationship Type="http://schemas.openxmlformats.org/officeDocument/2006/relationships/image" Target="/media/image3.jpg" Id="R504556a8ac6e47f2" /><Relationship Type="http://schemas.openxmlformats.org/officeDocument/2006/relationships/image" Target="/media/image4.jpg" Id="Rf75e24c9f224431e" /><Relationship Type="http://schemas.openxmlformats.org/officeDocument/2006/relationships/image" Target="/media/image5.jpg" Id="Rd0646c2e963b49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