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6/sgr-100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6/sgr-100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ca03d3676140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900.0019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  <w:tr>
        <w:tc>
          <w:tcPr/>
          <w:p>
            <w:r>
              <w:t xml:space="preserve">900.0035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50-dlg.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ø1 - 5,9mm / 0,1mm oplopend / 1 stuks elk</w:t>
            </w:r>
          </w:p>
        </w:tc>
      </w:tr>
      <w:tr>
        <w:tc>
          <w:tcPr/>
          <w:p>
            <w:r>
              <w:t xml:space="preserve">900.0040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41-dlg.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ø6 - 10mm / 0,1mm oplopend /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fca03d3676140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