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OTS 32K4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5/sgr-519-0237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5/sgr-519-0237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25cc35cf4c4b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OTS 32K4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schuurvinger, grof schuren</w:t>
      </w:r>
    </w:p>
    <w:p>
      <w:pPr>
        <w:pStyle w:val="heading 3"/>
      </w:pPr>
      <w:r>
        <w:t xml:space="preserve">Toepassing</w:t>
      </w:r>
    </w:p>
    <w:p>
      <w:r>
        <w:t xml:space="preserve">Verf schuren in smalle tussenruimten (bijv. lamellen van raamluiken). Parketlak schuren op moeilijk toegankelijke plaatsen (bijv. tussen verwarmingsbuizen). Hout, WPC-composiet en epoxy schuren (bijv. vlonderplanken)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519.0237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OTS 32K4 [1x]     </w:t>
            </w:r>
          </w:p>
        </w:tc>
        <w:tc>
          <w:tcPr/>
          <w:p>
            <w:r>
              <w:t xml:space="preserve">AVZ 32 RT4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325cc35cf4c4b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