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678fba3073f0416f"/>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8fba3073f0416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