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Waterdruktank</w:t>
      </w:r>
    </w:p>
    <w:p>
      <w:r>
        <w:drawing>
          <wp:inline distT="0" distB="0" distL="0" distR="0">
            <wp:extent cx="4429125" cy="2952750"/>
            <wp:effectExtent l="19050" t="0" r="0" b="0"/>
            <wp:docPr id="5" name="/ImageGen.ashx?image=/media/479176/tc402-pressurized-water-tank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76/tc402-pressurized-water-tank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6be13b111864a5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Waterdruktank</w:t>
      </w:r>
      <w:r>
        <w:br/>
      </w:r>
      <w:r>
        <w:t xml:space="preserve">voor de kernboormachine TC402</w:t>
      </w:r>
      <w:r>
        <w:br/>
      </w:r>
      <w:r>
        <w:br/>
      </w:r>
      <w:r>
        <w:t xml:space="preserve">Gebruik een watertank voor de TC402 kernboormachine</w:t>
      </w:r>
      <w:r>
        <w:br/>
      </w:r>
      <w:r>
        <w:t xml:space="preserve">Het instelbare reservoir met stromend water onder druk is erg handig en maakt bediening op niet-bewaterde bouwplaatsen mogelijk (sluit zo nodig een externe watertoevoer aan op de watervoorzieningsset)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6be13b111864a5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