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END1550P</w:t>
      </w:r>
    </w:p>
    <w:p>
      <w:r>
        <w:drawing>
          <wp:inline distT="0" distB="0" distL="0" distR="0">
            <wp:extent cx="2952750" cy="2952750"/>
            <wp:effectExtent l="19050" t="0" r="0" b="0"/>
            <wp:docPr id="5" name="/ImageGen.ashx?image=/media/14987/END1550P.png&amp;Height=310&amp;Text=&amp;Align=center&amp;FontSize=7" descr=""/>
            <wp:cNvGraphicFramePr>
              <a:graphicFrameLocks noChangeAspect="1"/>
            </wp:cNvGraphicFramePr>
            <a:graphic>
              <a:graphicData uri="http://schemas.openxmlformats.org/drawingml/2006/picture">
                <pic:pic>
                  <pic:nvPicPr>
                    <pic:cNvPr id="2" name="/ImageGen.ashx?image=/media/14987/END1550P.png&amp;Height=310&amp;Text=&amp;Align=center&amp;FontSize=7" descr=""/>
                    <pic:cNvPicPr>
                      <a:picLocks noChangeAspect="1" noChangeArrowheads="1"/>
                    </pic:cNvPicPr>
                  </pic:nvPicPr>
                  <pic:blipFill>
                    <a:blip r:embed="R4bdc9882b0504c96"/>
                    <a:srcRect/>
                    <a:stretch>
                      <a:fillRect/>
                    </a:stretch>
                  </pic:blipFill>
                  <pic:spPr bwMode="auto">
                    <a:xfrm>
                      <a:off x="0" y="0"/>
                      <a:ext cx="2952750" cy="2952750"/>
                    </a:xfrm>
                    <a:prstGeom prst="rect">
                      <a:avLst/>
                    </a:prstGeom>
                  </pic:spPr>
                </pic:pic>
              </a:graphicData>
            </a:graphic>
          </wp:inline>
        </w:drawing>
      </w:r>
    </w:p>
    <w:p>
      <w:r>
        <w:t xml:space="preserve">1500W - 6 tot 30 (68) mm</w:t>
      </w:r>
    </w:p>
    <w:p>
      <w:r>
        <w:t xml:space="preserve">Compacte diamantboormachine voor het watergekoeld boren van gaten tot 68 mm. in tegels, keramiek, glas, natuursteen en beton. Met roestvrijstalen hoofdas, electronisch regelbare schakelaar, geïntegreerde watertoevoer, PRCD schakelaar en extra verstelbare handgreep. Verpakt in metalen koffer. Technische gegevens:</w:t>
      </w:r>
    </w:p>
    <w:tbl>
      <w:tblPr>
        <w:tblW w:w="auto" w:type="pct"/>
      </w:tblPr>
      <w:tblGrid>
        <w:gridCol/>
        <w:gridCol/>
      </w:tblGrid>
      <w:tr>
        <w:tc>
          <w:tcPr/>
          <w:p>
            <w:r>
              <w:t xml:space="preserve">Artikelnummer</w:t>
            </w:r>
          </w:p>
        </w:tc>
        <w:tc>
          <w:tcPr/>
          <w:p>
            <w:r>
              <w:t xml:space="preserve">10.093.55</w:t>
            </w:r>
          </w:p>
        </w:tc>
      </w:tr>
      <w:tr>
        <w:tc>
          <w:tcPr/>
          <w:p>
            <w:r>
              <w:t xml:space="preserve">EAN code</w:t>
            </w:r>
          </w:p>
        </w:tc>
        <w:tc>
          <w:tcPr/>
          <w:p>
            <w:r>
              <w:t xml:space="preserve">4026851011329</w:t>
            </w:r>
          </w:p>
        </w:tc>
      </w:tr>
      <w:tr>
        <w:tc>
          <w:tcPr/>
          <w:p>
            <w:r>
              <w:t xml:space="preserve">Merk</w:t>
            </w:r>
          </w:p>
        </w:tc>
        <w:tc>
          <w:tcPr/>
          <w:p>
            <w:r>
              <w:t xml:space="preserve">Eibenstock</w:t>
            </w:r>
          </w:p>
        </w:tc>
      </w:tr>
      <w:tr>
        <w:tc>
          <w:tcPr/>
          <w:p>
            <w:r>
              <w:t xml:space="preserve">Type</w:t>
            </w:r>
          </w:p>
        </w:tc>
        <w:tc>
          <w:tcPr/>
          <w:p>
            <w:r>
              <w:t xml:space="preserve">Nat-boormachine</w:t>
            </w:r>
          </w:p>
        </w:tc>
      </w:tr>
      <w:tr>
        <w:tc>
          <w:tcPr/>
          <w:p>
            <w:r>
              <w:t xml:space="preserve">Vermogen</w:t>
            </w:r>
          </w:p>
        </w:tc>
        <w:tc>
          <w:tcPr/>
          <w:p>
            <w:r>
              <w:t xml:space="preserve">1500 Watt</w:t>
            </w:r>
          </w:p>
        </w:tc>
      </w:tr>
      <w:tr>
        <w:tc>
          <w:tcPr/>
          <w:p>
            <w:r>
              <w:t xml:space="preserve">Spanning</w:t>
            </w:r>
          </w:p>
        </w:tc>
        <w:tc>
          <w:tcPr/>
          <w:p>
            <w:r>
              <w:t xml:space="preserve">230 V</w:t>
            </w:r>
          </w:p>
        </w:tc>
      </w:tr>
      <w:tr>
        <w:tc>
          <w:tcPr/>
          <w:p>
            <w:r>
              <w:t xml:space="preserve">Toerental (belast)</w:t>
            </w:r>
          </w:p>
        </w:tc>
        <w:tc>
          <w:tcPr/>
          <w:p>
            <w:r>
              <w:t xml:space="preserve">1800 / 4400 tr/min.</w:t>
            </w:r>
          </w:p>
        </w:tc>
      </w:tr>
      <w:tr>
        <w:tc>
          <w:tcPr/>
          <w:p>
            <w:r>
              <w:t xml:space="preserve">Toerental (onbelast)</w:t>
            </w:r>
          </w:p>
        </w:tc>
        <w:tc>
          <w:tcPr/>
          <w:p>
            <w:r>
              <w:t xml:space="preserve">8000 tr/min.</w:t>
            </w:r>
          </w:p>
        </w:tc>
      </w:tr>
      <w:tr>
        <w:tc>
          <w:tcPr/>
          <w:p>
            <w:r>
              <w:t xml:space="preserve">Aansluiting</w:t>
            </w:r>
          </w:p>
        </w:tc>
        <w:tc>
          <w:tcPr/>
          <w:p>
            <w:r>
              <w:t xml:space="preserve">1/2" binnendraad</w:t>
            </w:r>
          </w:p>
        </w:tc>
      </w:tr>
      <w:tr>
        <w:tc>
          <w:tcPr/>
          <w:p>
            <w:r>
              <w:t xml:space="preserve">Max. boordiameter (nat)</w:t>
            </w:r>
          </w:p>
        </w:tc>
        <w:tc>
          <w:tcPr/>
          <w:p>
            <w:r>
              <w:t xml:space="preserve">68 mm (optimaal tot 50 mm)</w:t>
            </w:r>
          </w:p>
        </w:tc>
      </w:tr>
      <w:tr>
        <w:tc>
          <w:tcPr/>
          <w:p>
            <w:r>
              <w:t xml:space="preserve">Max. boordiameter (droog)</w:t>
            </w:r>
          </w:p>
        </w:tc>
        <w:tc>
          <w:tcPr/>
          <w:p>
            <w:r>
              <w:t xml:space="preserve">n.v.t.</w:t>
            </w:r>
          </w:p>
        </w:tc>
      </w:tr>
      <w:tr>
        <w:tc>
          <w:tcPr/>
          <w:p>
            <w:r>
              <w:t xml:space="preserve">Spanhalsdiameter</w:t>
            </w:r>
          </w:p>
        </w:tc>
        <w:tc>
          <w:tcPr/>
          <w:p>
            <w:r>
              <w:t xml:space="preserve">53 mm</w:t>
            </w:r>
          </w:p>
        </w:tc>
      </w:tr>
      <w:tr>
        <w:tc>
          <w:tcPr/>
          <w:p>
            <w:r>
              <w:t xml:space="preserve">Gewicht</w:t>
            </w:r>
          </w:p>
        </w:tc>
        <w:tc>
          <w:tcPr/>
          <w:p>
            <w:r>
              <w:t xml:space="preserve">3,6 kg</w:t>
            </w:r>
          </w:p>
        </w:tc>
      </w:tr>
      <w:tr>
        <w:tc>
          <w:tcPr/>
          <w:p>
            <w:r>
              <w:t xml:space="preserve">Inclusief</w:t>
            </w:r>
          </w:p>
        </w:tc>
        <w:tc>
          <w:tcPr/>
          <w:p>
            <w:r>
              <w:t xml:space="preserve">Snelwisseladapter</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ac339fb978a5444c"/>
                    <a:srcRect/>
                    <a:stretch>
                      <a:fillRect/>
                    </a:stretch>
                  </pic:blipFill>
                  <pic:spPr bwMode="auto">
                    <a:xfrm>
                      <a:off x="0" y="0"/>
                      <a:ext cx="333375" cy="333375"/>
                    </a:xfrm>
                    <a:prstGeom prst="rect">
                      <a:avLst/>
                    </a:prstGeom>
                  </pic:spPr>
                </pic:pic>
              </a:graphicData>
            </a:graphic>
          </wp:inline>
        </w:drawing>
      </w:r>
      <w:r>
        <w:t xml:space="preserve">END1550P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4bdc9882b0504c96" /><Relationship Type="http://schemas.openxmlformats.org/officeDocument/2006/relationships/image" Target="/media/image3.jpg" Id="Rac339fb978a5444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