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END712P</w:t>
      </w:r>
    </w:p>
    <w:p>
      <w:r>
        <w:drawing>
          <wp:inline distT="0" distB="0" distL="0" distR="0">
            <wp:extent cx="2952750" cy="2952750"/>
            <wp:effectExtent l="19050" t="0" r="0" b="0"/>
            <wp:docPr id="5" name="/ImageGen.ashx?image=/media/14986/END712P.png&amp;Height=310&amp;Text=&amp;Align=center&amp;FontSize=7" descr=""/>
            <wp:cNvGraphicFramePr>
              <a:graphicFrameLocks noChangeAspect="1"/>
            </wp:cNvGraphicFramePr>
            <a:graphic>
              <a:graphicData uri="http://schemas.openxmlformats.org/drawingml/2006/picture">
                <pic:pic>
                  <pic:nvPicPr>
                    <pic:cNvPr id="2" name="/ImageGen.ashx?image=/media/14986/END712P.png&amp;Height=310&amp;Text=&amp;Align=center&amp;FontSize=7" descr=""/>
                    <pic:cNvPicPr>
                      <a:picLocks noChangeAspect="1" noChangeArrowheads="1"/>
                    </pic:cNvPicPr>
                  </pic:nvPicPr>
                  <pic:blipFill>
                    <a:blip r:embed="R3335b5c2dca64373"/>
                    <a:srcRect/>
                    <a:stretch>
                      <a:fillRect/>
                    </a:stretch>
                  </pic:blipFill>
                  <pic:spPr bwMode="auto">
                    <a:xfrm>
                      <a:off x="0" y="0"/>
                      <a:ext cx="2952750" cy="2952750"/>
                    </a:xfrm>
                    <a:prstGeom prst="rect">
                      <a:avLst/>
                    </a:prstGeom>
                  </pic:spPr>
                </pic:pic>
              </a:graphicData>
            </a:graphic>
          </wp:inline>
        </w:drawing>
      </w:r>
    </w:p>
    <w:p>
      <w:r>
        <w:t xml:space="preserve">Download hier de productfolder:</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1e583036c2814d6a"/>
                    <a:srcRect/>
                    <a:stretch>
                      <a:fillRect/>
                    </a:stretch>
                  </pic:blipFill>
                  <pic:spPr bwMode="auto">
                    <a:xfrm>
                      <a:off x="0" y="0"/>
                      <a:ext cx="333375" cy="333375"/>
                    </a:xfrm>
                    <a:prstGeom prst="rect">
                      <a:avLst/>
                    </a:prstGeom>
                  </pic:spPr>
                </pic:pic>
              </a:graphicData>
            </a:graphic>
          </wp:inline>
        </w:drawing>
      </w:r>
      <w:r>
        <w:t xml:space="preserve">END712P</w:t>
      </w:r>
    </w:p>
    <w:p>
      <w:r>
        <w:t xml:space="preserve">700 W - 3,5 tot 14 mm</w:t>
      </w:r>
    </w:p>
    <w:p>
      <w:r>
        <w:t xml:space="preserve">Compacte diamantboormachine voor het watergekoeld boren van gaten tot 18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10.093.51</w:t>
            </w:r>
          </w:p>
        </w:tc>
      </w:tr>
      <w:tr>
        <w:tc>
          <w:tcPr/>
          <w:p>
            <w:r>
              <w:t xml:space="preserve">EAN code</w:t>
            </w:r>
          </w:p>
        </w:tc>
        <w:tc>
          <w:tcPr/>
          <w:p>
            <w:r>
              <w:t xml:space="preserve">4026851007933</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(belast)</w:t>
            </w:r>
          </w:p>
        </w:tc>
        <w:tc>
          <w:tcPr/>
          <w:p>
            <w:r>
              <w:t xml:space="preserve">0-8000 tr/min.</w:t>
            </w:r>
          </w:p>
        </w:tc>
      </w:tr>
      <w:tr>
        <w:tc>
          <w:tcPr/>
          <w:p>
            <w:r>
              <w:t xml:space="preserve">Toerental (onbelast)</w:t>
            </w:r>
          </w:p>
        </w:tc>
        <w:tc>
          <w:tcPr/>
          <w:p>
            <w:r>
              <w:t xml:space="preserve">11000 tr/min.</w:t>
            </w:r>
          </w:p>
        </w:tc>
      </w:tr>
      <w:tr>
        <w:tc>
          <w:tcPr/>
          <w:p>
            <w:r>
              <w:t xml:space="preserve">Aansluiting</w:t>
            </w:r>
          </w:p>
        </w:tc>
        <w:tc>
          <w:tcPr/>
          <w:p>
            <w:r>
              <w:t xml:space="preserve">M12x1,5 buitendraad</w:t>
            </w:r>
          </w:p>
        </w:tc>
      </w:tr>
      <w:tr>
        <w:tc>
          <w:tcPr/>
          <w:p>
            <w:r>
              <w:t xml:space="preserve">Max. boordiameter (nat)</w:t>
            </w:r>
          </w:p>
        </w:tc>
        <w:tc>
          <w:tcPr/>
          <w:p>
            <w:r>
              <w:t xml:space="preserve">12 mm (in tegels tot 18 mm)</w:t>
            </w:r>
          </w:p>
        </w:tc>
      </w:tr>
      <w:tr>
        <w:tc>
          <w:tcPr/>
          <w:p>
            <w:r>
              <w:t xml:space="preserve">Max. boordiameter (droog)</w:t>
            </w:r>
          </w:p>
        </w:tc>
        <w:tc>
          <w:tcPr/>
          <w:p>
            <w:r>
              <w:t xml:space="preserve">n.v.t.</w:t>
            </w:r>
          </w:p>
        </w:tc>
      </w:tr>
      <w:tr>
        <w:tc>
          <w:tcPr/>
          <w:p>
            <w:r>
              <w:t xml:space="preserve">Spanhalsdiameter</w:t>
            </w:r>
          </w:p>
        </w:tc>
        <w:tc>
          <w:tcPr/>
          <w:p>
            <w:r>
              <w:t xml:space="preserve">43 mm</w:t>
            </w:r>
          </w:p>
        </w:tc>
      </w:tr>
      <w:tr>
        <w:tc>
          <w:tcPr/>
          <w:p>
            <w:r>
              <w:t xml:space="preserve">Gewicht</w:t>
            </w:r>
          </w:p>
        </w:tc>
        <w:tc>
          <w:tcPr/>
          <w:p>
            <w:r>
              <w:t xml:space="preserve">2,6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335b5c2dca64373" /><Relationship Type="http://schemas.openxmlformats.org/officeDocument/2006/relationships/image" Target="/media/image3.jpg" Id="R1e583036c2814d6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