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ESD1801</w:t>
      </w:r>
    </w:p>
    <w:p>
      <w:r>
        <w:drawing>
          <wp:inline distT="0" distB="0" distL="0" distR="0">
            <wp:extent cx="2952750" cy="2952750"/>
            <wp:effectExtent l="19050" t="0" r="0" b="0"/>
            <wp:docPr id="5" name="/ImageGen.ashx?image=/media/1057/ESD1801.png&amp;Height=310&amp;Text=&amp;Align=center&amp;FontSize=7" descr=""/>
            <wp:cNvGraphicFramePr>
              <a:graphicFrameLocks noChangeAspect="1"/>
            </wp:cNvGraphicFramePr>
            <a:graphic>
              <a:graphicData uri="http://schemas.openxmlformats.org/drawingml/2006/picture">
                <pic:pic>
                  <pic:nvPicPr>
                    <pic:cNvPr id="2" name="/ImageGen.ashx?image=/media/1057/ESD1801.png&amp;Height=310&amp;Text=&amp;Align=center&amp;FontSize=7" descr=""/>
                    <pic:cNvPicPr>
                      <a:picLocks noChangeAspect="1" noChangeArrowheads="1"/>
                    </pic:cNvPicPr>
                  </pic:nvPicPr>
                  <pic:blipFill>
                    <a:blip r:embed="Rebf98ee890fa4964"/>
                    <a:srcRect/>
                    <a:stretch>
                      <a:fillRect/>
                    </a:stretch>
                  </pic:blipFill>
                  <pic:spPr bwMode="auto">
                    <a:xfrm>
                      <a:off x="0" y="0"/>
                      <a:ext cx="2952750" cy="2952750"/>
                    </a:xfrm>
                    <a:prstGeom prst="rect">
                      <a:avLst/>
                    </a:prstGeom>
                  </pic:spPr>
                </pic:pic>
              </a:graphicData>
            </a:graphic>
          </wp:inline>
        </w:drawing>
      </w:r>
    </w:p>
    <w:p>
      <w:r>
        <w:t xml:space="preserve">1800W - tot 90 mm.</w:t>
      </w:r>
      <w:r>
        <w:br/>
      </w:r>
      <w:r>
        <w:t xml:space="preserve">softslag</w:t>
      </w:r>
    </w:p>
    <w:p>
      <w:r>
        <w:t xml:space="preserve">Krachtige diamantboormachine met inschakelbaar softslagsysteem droog boren van gaten tot 82 mm in harde materialen zoals kalkzandsteen. Met speciaal ontwikkelde boorkronen kan zelfs in gewapend beton geboord worden. Met electronisch regelbare schakelaar, thermische- en overspanningsbeveiliging, mechanische slipkoppeling en extra verstelbare handgreep. Technische gegevens:</w:t>
      </w:r>
    </w:p>
    <w:tbl>
      <w:tblPr>
        <w:tblW w:w="auto" w:type="pct"/>
      </w:tblPr>
      <w:tblGrid>
        <w:gridCol/>
        <w:gridCol/>
      </w:tblGrid>
      <w:tr>
        <w:tc>
          <w:tcPr/>
          <w:p>
            <w:r>
              <w:t xml:space="preserve">Artikelnummer</w:t>
            </w:r>
          </w:p>
        </w:tc>
        <w:tc>
          <w:tcPr/>
          <w:p>
            <w:r>
              <w:t xml:space="preserve">10.092.06</w:t>
            </w:r>
          </w:p>
        </w:tc>
      </w:tr>
      <w:tr>
        <w:tc>
          <w:tcPr/>
          <w:p>
            <w:r>
              <w:t xml:space="preserve">EAN code</w:t>
            </w:r>
          </w:p>
        </w:tc>
        <w:tc>
          <w:tcPr/>
          <w:p>
            <w:r>
              <w:t xml:space="preserve">8713265038382</w:t>
            </w:r>
          </w:p>
        </w:tc>
      </w:tr>
      <w:tr>
        <w:tc>
          <w:tcPr/>
          <w:p>
            <w:r>
              <w:t xml:space="preserve">Merk</w:t>
            </w:r>
          </w:p>
        </w:tc>
        <w:tc>
          <w:tcPr/>
          <w:p>
            <w:r>
              <w:t xml:space="preserve">Eibenstock</w:t>
            </w:r>
          </w:p>
        </w:tc>
      </w:tr>
      <w:tr>
        <w:tc>
          <w:tcPr/>
          <w:p>
            <w:r>
              <w:t xml:space="preserve">Type</w:t>
            </w:r>
          </w:p>
        </w:tc>
        <w:tc>
          <w:tcPr/>
          <w:p>
            <w:r>
              <w:t xml:space="preserve">Droog-boormachine</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0-2050 tr/min.</w:t>
            </w:r>
          </w:p>
        </w:tc>
      </w:tr>
      <w:tr>
        <w:tc>
          <w:tcPr/>
          <w:p>
            <w:r>
              <w:t xml:space="preserve">Toerental (onbelast)</w:t>
            </w:r>
          </w:p>
        </w:tc>
        <w:tc>
          <w:tcPr/>
          <w:p>
            <w:r>
              <w:t xml:space="preserve">3000 tr/min.</w:t>
            </w:r>
          </w:p>
        </w:tc>
      </w:tr>
      <w:tr>
        <w:tc>
          <w:tcPr/>
          <w:p>
            <w:r>
              <w:t xml:space="preserve">Aansluiting</w:t>
            </w:r>
          </w:p>
        </w:tc>
        <w:tc>
          <w:tcPr/>
          <w:p>
            <w:r>
              <w:t xml:space="preserve">M18 buitendraad</w:t>
            </w:r>
          </w:p>
        </w:tc>
      </w:tr>
      <w:tr>
        <w:tc>
          <w:tcPr/>
          <w:p>
            <w:r>
              <w:t xml:space="preserve">Max. boordiameter (nat)</w:t>
            </w:r>
          </w:p>
        </w:tc>
        <w:tc>
          <w:tcPr/>
          <w:p>
            <w:r>
              <w:t xml:space="preserve">n.v.t.</w:t>
            </w:r>
          </w:p>
        </w:tc>
      </w:tr>
      <w:tr>
        <w:tc>
          <w:tcPr/>
          <w:p>
            <w:r>
              <w:t xml:space="preserve">Max. boordiameter (droog)</w:t>
            </w:r>
          </w:p>
        </w:tc>
        <w:tc>
          <w:tcPr/>
          <w:p>
            <w:r>
              <w:t xml:space="preserve">82 mm</w:t>
            </w:r>
          </w:p>
        </w:tc>
      </w:tr>
      <w:tr>
        <w:tc>
          <w:tcPr/>
          <w:p>
            <w:r>
              <w:t xml:space="preserve">Gewicht</w:t>
            </w:r>
          </w:p>
        </w:tc>
        <w:tc>
          <w:tcPr/>
          <w:p>
            <w:r>
              <w:t xml:space="preserve">5,9 kg</w:t>
            </w:r>
          </w:p>
        </w:tc>
      </w:tr>
      <w:tr>
        <w:tc>
          <w:tcPr/>
          <w:p>
            <w:r>
              <w:t xml:space="preserve">Spanhalsdiameter</w:t>
            </w:r>
          </w:p>
        </w:tc>
        <w:tc>
          <w:tcPr/>
          <w:p>
            <w:r>
              <w:t xml:space="preserve">53 mm</w:t>
            </w:r>
          </w:p>
        </w:tc>
      </w:tr>
      <w:tr>
        <w:tc>
          <w:tcPr/>
          <w:p>
            <w:r>
              <w:t xml:space="preserve">Verpakking</w:t>
            </w:r>
          </w:p>
        </w:tc>
        <w:tc>
          <w:tcPr/>
          <w:p>
            <w:r>
              <w:t xml:space="preserve">In koffer</w:t>
            </w:r>
          </w:p>
        </w:tc>
      </w:tr>
      <w:tr>
        <w:tc>
          <w:tcPr/>
          <w:p>
            <w:r>
              <w:t xml:space="preserve">Inclusief</w:t>
            </w:r>
          </w:p>
        </w:tc>
        <w:tc>
          <w:tcPr/>
          <w:p>
            <w:r>
              <w:t xml:space="preserve">verstelbare handgreep</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bf98ee890fa496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