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 160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7/db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7/db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173e2d056e46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compacte diamantboorset voor zowel boren van gaten in beton tot 162 mm. Met oliebad gesmeerd tandwielhuis, RVS combi-as en geïntegreerde watertoevoer, electronisch regelbare schakelaar, thermische- en overspanningsbeveiliging, mechanische slipkoppeling, zelf uitschakelende koolborstels, PRCD schakelaar en extra verstelbare handgreep.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4026851010506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790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173e2d056e46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