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Tas 4 - voor 280E</w:t>
      </w:r>
    </w:p>
    <w:p>
      <w:r>
        <w:drawing>
          <wp:inline distT="0" distB="0" distL="0" distR="0">
            <wp:extent cx="3552825" cy="2952750"/>
            <wp:effectExtent l="19050" t="0" r="0" b="0"/>
            <wp:docPr id="5" name="/ImageGen.ashx?image=/media/244590/pipecut_bag_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0/pipecut_bag_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2c7d07d46e48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Voor type</w:t>
            </w:r>
          </w:p>
        </w:tc>
        <w:tc>
          <w:tcPr/>
          <w:p>
            <w:r>
              <w:t xml:space="preserve">280E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w =59cm (23.2”), d= 25cm (9.8”), h= 28 cm (11.0”)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duurzaam</w:t>
            </w:r>
            <w:r>
              <w:t xml:space="preserve"> </w:t>
            </w:r>
            <w:r>
              <w:t xml:space="preserve">nylon</w:t>
            </w:r>
            <w:r>
              <w:br/>
            </w:r>
            <w:r>
              <w:br/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2c7d07d46e48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