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Pipebench 170 complete set</w:t>
      </w:r>
    </w:p>
    <w:p>
      <w:r>
        <w:drawing>
          <wp:inline distT="0" distB="0" distL="0" distR="0">
            <wp:extent cx="4171950" cy="2952750"/>
            <wp:effectExtent l="19050" t="0" r="0" b="0"/>
            <wp:docPr id="5" name="/ImageGen.ashx?image=/media/244593/pipebench-170-complete-s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3/pipebench-170-complete-s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ad0f62d4ba64f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Complete set omvat:</w:t>
      </w:r>
    </w:p>
    <w:p>
      <w:r>
        <w:t xml:space="preserve">PipeBench</w:t>
      </w:r>
      <w:r>
        <w:t xml:space="preserve"> </w:t>
      </w:r>
      <w:r>
        <w:t xml:space="preserve">170</w:t>
      </w:r>
      <w:r>
        <w:t xml:space="preserve"> </w:t>
      </w:r>
      <w:r>
        <w:t xml:space="preserve">(1 st</w:t>
      </w:r>
      <w:r>
        <w:t xml:space="preserve">)</w:t>
      </w:r>
      <w:r>
        <w:br/>
      </w:r>
      <w:r>
        <w:t xml:space="preserve">Pijp</w:t>
      </w:r>
      <w:r>
        <w:t xml:space="preserve"> </w:t>
      </w:r>
      <w:r>
        <w:t xml:space="preserve">ondersteuning (</w:t>
      </w:r>
      <w:r>
        <w:t xml:space="preserve">4 st</w:t>
      </w:r>
      <w:r>
        <w:t xml:space="preserve">)</w:t>
      </w:r>
      <w:r>
        <w:br/>
      </w:r>
      <w:r>
        <w:t xml:space="preserve">Tool</w:t>
      </w:r>
      <w:r>
        <w:t xml:space="preserve"> </w:t>
      </w:r>
      <w:r>
        <w:t xml:space="preserve">Bag</w:t>
      </w:r>
      <w:r>
        <w:t xml:space="preserve"> </w:t>
      </w:r>
      <w:r>
        <w:t xml:space="preserve">(1 st</w:t>
      </w:r>
      <w:r>
        <w:t xml:space="preserve">)</w:t>
      </w:r>
      <w:r>
        <w:br/>
      </w:r>
      <w:r>
        <w:t xml:space="preserve">Kettingklem</w:t>
      </w:r>
      <w:r>
        <w:t xml:space="preserve"> </w:t>
      </w:r>
      <w:r>
        <w:t xml:space="preserve">(1 st</w:t>
      </w:r>
      <w:r>
        <w:t xml:space="preserve">)</w:t>
      </w:r>
      <w:r>
        <w:br/>
      </w:r>
      <w:r>
        <w:t xml:space="preserve">Werktafel</w:t>
      </w:r>
      <w:r>
        <w:t xml:space="preserve"> </w:t>
      </w:r>
      <w:r>
        <w:t xml:space="preserve">(1 st</w:t>
      </w:r>
      <w:r>
        <w:t xml:space="preserve">)</w:t>
      </w:r>
      <w:r>
        <w:br/>
      </w:r>
      <w:r>
        <w:t xml:space="preserve">Tray</w:t>
      </w:r>
      <w:r>
        <w:t xml:space="preserve"> </w:t>
      </w:r>
      <w:r>
        <w:t xml:space="preserve">(1 st</w:t>
      </w:r>
      <w:r>
        <w:t xml:space="preserve">)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Capaciteit</w:t>
            </w:r>
          </w:p>
        </w:tc>
        <w:tc>
          <w:tcPr/>
          <w:p>
            <w:r>
              <w:t xml:space="preserve">15 mm-170 mm</w:t>
            </w:r>
          </w:p>
        </w:tc>
      </w:tr>
      <w:tr>
        <w:tc>
          <w:tcPr/>
          <w:p>
            <w:r>
              <w:t xml:space="preserve">Max. belasting    </w:t>
            </w:r>
          </w:p>
        </w:tc>
        <w:tc>
          <w:tcPr/>
          <w:p>
            <w:r>
              <w:t xml:space="preserve">100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12,1 kg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1180 mm-2510 mm</w:t>
            </w:r>
          </w:p>
        </w:tc>
      </w:tr>
      <w:tr>
        <w:tc>
          <w:tcPr/>
          <w:p>
            <w:r>
              <w:t xml:space="preserve">Hoogte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Werkhoogte</w:t>
            </w:r>
          </w:p>
        </w:tc>
        <w:tc>
          <w:tcPr/>
          <w:p>
            <w:r>
              <w:t xml:space="preserve">875 mm - 1030 mm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staal, aluminium, kunststof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ad0f62d4ba64fd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