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HPI 603</w:t>
      </w:r>
    </w:p>
    <w:p>
      <w:r>
        <w:drawing>
          <wp:inline distT="0" distB="0" distL="0" distR="0">
            <wp:extent cx="3505200" cy="2952750"/>
            <wp:effectExtent l="19050" t="0" r="0" b="0"/>
            <wp:docPr id="5" name="/ImageGen.ashx?image=/media/35077/hpi60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7/hpi60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ca3b4685c014c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Freeskop-Ø</w:t>
            </w:r>
          </w:p>
        </w:tc>
        <w:tc>
          <w:tcPr/>
          <w:p>
            <w:r>
              <w:rPr>
                <w:b/>
              </w:rPr>
              <w:t xml:space="preserve">150 mm</w:t>
            </w:r>
          </w:p>
        </w:tc>
      </w:tr>
      <w:tr>
        <w:tc>
          <w:tcPr/>
          <w:p>
            <w:r>
              <w:t xml:space="preserve">Max. freesdiepte</w:t>
            </w:r>
          </w:p>
        </w:tc>
        <w:tc>
          <w:tcPr/>
          <w:p>
            <w:r>
              <w:rPr>
                <w:b/>
              </w:rPr>
              <w:t xml:space="preserve">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2400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1200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700 Watt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6,8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28 vlakke tandfrezen</w:t>
            </w:r>
          </w:p>
        </w:tc>
        <w:tc>
          <w:tcPr/>
          <w:p>
            <w:r>
              <w:rPr>
                <w:b/>
              </w:rPr>
              <w:t xml:space="preserve">256.587 </w:t>
            </w:r>
          </w:p>
        </w:tc>
      </w:tr>
      <w:tr>
        <w:tc>
          <w:tcPr/>
          <w:p>
            <w:r>
              <w:t xml:space="preserve">1 zijdelingse handgreep</w:t>
            </w:r>
          </w:p>
        </w:tc>
        <w:tc>
          <w:tcPr/>
          <w:p>
            <w:r>
              <w:rPr>
                <w:b/>
              </w:rPr>
              <w:t xml:space="preserve">256.799 </w:t>
            </w:r>
          </w:p>
        </w:tc>
      </w:tr>
      <w:tr>
        <w:tc>
          <w:tcPr/>
          <w:p>
            <w:r>
              <w:t xml:space="preserve">1 steeksleutel</w:t>
            </w:r>
          </w:p>
        </w:tc>
        <w:tc>
          <w:tcPr/>
          <w:p>
            <w:r>
              <w:rPr>
                <w:b/>
              </w:rPr>
              <w:t xml:space="preserve">256.801 </w:t>
            </w:r>
          </w:p>
        </w:tc>
      </w:tr>
      <w:tr>
        <w:tc>
          <w:tcPr/>
          <w:p>
            <w:r>
              <w:t xml:space="preserve">1 draaistift</w:t>
            </w:r>
          </w:p>
        </w:tc>
        <w:tc>
          <w:tcPr/>
          <w:p>
            <w:r>
              <w:rPr>
                <w:b/>
              </w:rPr>
              <w:t xml:space="preserve">256.808 </w:t>
            </w:r>
          </w:p>
        </w:tc>
      </w:tr>
      <w:tr>
        <w:tc>
          <w:tcPr/>
          <w:p>
            <w:r>
              <w:t xml:space="preserve">1 demontage-kit</w:t>
            </w:r>
          </w:p>
        </w:tc>
        <w:tc>
          <w:tcPr/>
          <w:p>
            <w:r>
              <w:rPr>
                <w:b/>
              </w:rPr>
              <w:t xml:space="preserve">256.807 </w:t>
            </w:r>
          </w:p>
        </w:tc>
      </w:tr>
      <w:tr>
        <w:tc>
          <w:tcPr/>
          <w:p>
            <w:r>
              <w:t xml:space="preserve">1 slangverlenging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257.169 </w:t>
            </w:r>
          </w:p>
        </w:tc>
      </w:tr>
      <w:tr>
        <w:tc>
          <w:tcPr/>
          <w:p>
            <w:r>
              <w:t xml:space="preserve">1 metalen koffer</w:t>
            </w:r>
          </w:p>
        </w:tc>
        <w:tc>
          <w:tcPr/>
          <w:p>
            <w:r>
              <w:rPr>
                <w:b/>
              </w:rPr>
              <w:t xml:space="preserve">1 stuk </w:t>
            </w:r>
          </w:p>
        </w:tc>
      </w:tr>
    </w:tbl>
    <w:p>
      <w:pPr>
        <w:pStyle w:val="heading 2"/>
      </w:pPr>
      <w:r>
        <w:rPr>
          <w:b/>
        </w:rPr>
        <w:t xml:space="preserve">De saneringsfrees freest pleister, beton en estrik weg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Aanloopstroombegrenzing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Schakelaar: met aan-/uitschakelblokkering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voor een externe stofafzuiging via de meegeleverde adapter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tandfrezen: uit kwalitatief volhardmetaal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7 freesassen met 28 vlakke tandfrezen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grote oppervlakken, verwijderen van betonresten, opruwen van beton en egaliseren van pleisterwerk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ca3b4685c014cc6" /><Relationship Type="http://schemas.openxmlformats.org/officeDocument/2006/relationships/numbering" Target="/word/numbering.xml" Id="R3445ec45271048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