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RB300ST-DR</w:t>
      </w:r>
    </w:p>
    <w:p>
      <w:r>
        <w:drawing>
          <wp:inline distT="0" distB="0" distL="0" distR="0">
            <wp:extent cx="2219325" cy="2952750"/>
            <wp:effectExtent l="19050" t="0" r="0" b="0"/>
            <wp:docPr id="5" name="/ImageGen.ashx?image=/media/397463/rb300dr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3/rb300dr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cdcd8301314c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RB300ST-DR</w:t>
            </w:r>
          </w:p>
        </w:tc>
      </w:tr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Max. diameter</w:t>
            </w:r>
          </w:p>
        </w:tc>
        <w:tc>
          <w:tcPr/>
          <w:p>
            <w:r>
              <w:t xml:space="preserve">300 mm</w:t>
            </w:r>
          </w:p>
        </w:tc>
      </w:tr>
      <w:tr>
        <w:tc>
          <w:tcPr/>
          <w:p>
            <w:r>
              <w:t xml:space="preserve">Max. zaagdiepte    </w:t>
            </w:r>
          </w:p>
        </w:tc>
        <w:tc>
          <w:tcPr/>
          <w:p>
            <w:r>
              <w:t xml:space="preserve">115 mm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4500/min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droog/nat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cdcd8301314c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