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11067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f82fc70fe048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6kant-10mm - korf 100 mm</w:t>
      </w:r>
      <w:r>
        <w:br/>
      </w:r>
      <w:r>
        <w:t xml:space="preserve">z. ring - 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8713265004943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100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10-20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ef82fc70fe048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