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DK26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88/dk26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88/dk26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bdea6a229a94be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11.6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245/480/760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2600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1.25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490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bdea6a229a94be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