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LSZ F Vision</w:t>
      </w:r>
    </w:p>
    <w:p>
      <w:r>
        <w:drawing>
          <wp:inline distT="0" distB="0" distL="0" distR="0">
            <wp:extent cx="2876550" cy="2952750"/>
            <wp:effectExtent l="19050" t="0" r="0" b="0"/>
            <wp:docPr id="5" name="/ImageGen.ashx?image=/media/191021/lsz-f-vision.jpg&amp;Height=310&amp;Text=&amp;Align=center&amp;FontSize=7" descr=""/>
            <wp:cNvGraphicFramePr>
              <a:graphicFrameLocks noChangeAspect="1"/>
            </wp:cNvGraphicFramePr>
            <a:graphic>
              <a:graphicData uri="http://schemas.openxmlformats.org/drawingml/2006/picture">
                <pic:pic>
                  <pic:nvPicPr>
                    <pic:cNvPr id="2" name="/ImageGen.ashx?image=/media/191021/lsz-f-vision.jpg&amp;Height=310&amp;Text=&amp;Align=center&amp;FontSize=7" descr=""/>
                    <pic:cNvPicPr>
                      <a:picLocks noChangeAspect="1" noChangeArrowheads="1"/>
                    </pic:cNvPicPr>
                  </pic:nvPicPr>
                  <pic:blipFill>
                    <a:blip r:embed="R271adccc5bd844c9"/>
                    <a:srcRect/>
                    <a:stretch>
                      <a:fillRect/>
                    </a:stretch>
                  </pic:blipFill>
                  <pic:spPr bwMode="auto">
                    <a:xfrm>
                      <a:off x="0" y="0"/>
                      <a:ext cx="2876550" cy="2952750"/>
                    </a:xfrm>
                    <a:prstGeom prst="rect">
                      <a:avLst/>
                    </a:prstGeom>
                  </pic:spPr>
                </pic:pic>
              </a:graphicData>
            </a:graphic>
          </wp:inline>
        </w:drawing>
      </w:r>
    </w:p>
    <w:p>
      <w:r>
        <w:t xml:space="preserve">Door de uitsparingen wordt de LSZ F VISION tijdens het draaien transparant. Vrij zicht op het werkstuk wordt gegarandeerd, de gebruiker ziet hoeveel en waar er wordt afgeslepen. Op die manier kan het resultaat permanent worden gecontroleerd, zonder de machine van het werkstuk af te halen. De afname van het materiaal kan zo doelgericht worden bewaakt en kostbare bewerkingsfouten kunnen worden voorkomen. Ook de bewerkingstijd wordt korter en de effectiviteit wordt verbeterd. Het betekent echter ook: minder stress, minder lichamelijke belasting en een zeer hoog rendement. Glasweefsel drager, zirkonium.</w:t>
      </w:r>
    </w:p>
    <w:p>
      <w:r>
        <w:t xml:space="preserve">Materiaal:</w:t>
      </w:r>
    </w:p>
    <w:p>
      <w:pPr>
        <w:pStyle w:val="ListParagraph"/>
        <w:spacing w:after="0"/>
        <w:ind w:left="0" w:hanging="357"/>
        <w:numPr>
          <w:ilvl w:val="0"/>
          <w:numId w:val="2"/>
        </w:numPr>
      </w:pPr>
      <w:r>
        <w:t xml:space="preserve">roest- en zuurbestendige staalsoorten</w:t>
      </w:r>
    </w:p>
    <w:p>
      <w:pPr>
        <w:pStyle w:val="ListParagraph"/>
        <w:spacing w:after="0"/>
        <w:ind w:left="0" w:hanging="357"/>
        <w:numPr>
          <w:ilvl w:val="0"/>
          <w:numId w:val="2"/>
        </w:numPr>
      </w:pPr>
      <w:r>
        <w:t xml:space="preserve">Hardox</w:t>
      </w:r>
    </w:p>
    <w:p>
      <w:pPr>
        <w:pStyle w:val="ListParagraph"/>
        <w:spacing w:after="0"/>
        <w:ind w:left="0" w:hanging="357"/>
        <w:numPr>
          <w:ilvl w:val="0"/>
          <w:numId w:val="2"/>
        </w:numPr>
      </w:pPr>
      <w:r>
        <w:t xml:space="preserve">plaatmateriaal met hoge trekvastheid</w:t>
      </w:r>
    </w:p>
    <w:p>
      <w:pPr>
        <w:pStyle w:val="ListParagraph"/>
        <w:spacing w:after="0"/>
        <w:ind w:left="0" w:hanging="357"/>
        <w:numPr>
          <w:ilvl w:val="0"/>
          <w:numId w:val="2"/>
        </w:numPr>
      </w:pPr>
      <w:r>
        <w:t xml:space="preserve">bouwstaal</w:t>
      </w:r>
    </w:p>
    <w:p>
      <w:pPr>
        <w:pStyle w:val="ListParagraph"/>
        <w:spacing w:after="0"/>
        <w:ind w:left="0" w:hanging="357"/>
        <w:numPr>
          <w:ilvl w:val="0"/>
          <w:numId w:val="2"/>
        </w:numPr>
      </w:pPr>
      <w:r>
        <w:t xml:space="preserve">gereedschapstaal</w:t>
      </w:r>
    </w:p>
    <w:p>
      <w:pPr>
        <w:pStyle w:val="ListParagraph"/>
        <w:spacing w:after="0"/>
        <w:ind w:left="0" w:hanging="357"/>
        <w:numPr>
          <w:ilvl w:val="0"/>
          <w:numId w:val="2"/>
        </w:numPr>
      </w:pPr>
      <w:r>
        <w:t xml:space="preserve">non-ferrometalen</w:t>
      </w:r>
    </w:p>
    <w:p>
      <w:pPr>
        <w:pStyle w:val="ListParagraph"/>
        <w:spacing w:after="0"/>
        <w:ind w:left="0" w:hanging="357"/>
        <w:numPr>
          <w:ilvl w:val="0"/>
          <w:numId w:val="2"/>
        </w:numPr>
      </w:pPr>
      <w:r>
        <w:t xml:space="preserve">hout, lak, plamuur</w:t>
      </w:r>
    </w:p>
    <w:p>
      <w:pPr>
        <w:pStyle w:val="ListParagraph"/>
        <w:spacing w:after="0"/>
        <w:ind w:left="0" w:hanging="357"/>
        <w:numPr>
          <w:ilvl w:val="0"/>
          <w:numId w:val="2"/>
        </w:numPr>
      </w:pPr>
      <w:r>
        <w:t xml:space="preserve">kunststoffen</w:t>
      </w:r>
    </w:p>
    <w:p>
      <w:pPr>
        <w:pStyle w:val="ListParagraph"/>
        <w:spacing w:after="0"/>
        <w:ind w:left="0" w:hanging="357"/>
        <w:numPr>
          <w:ilvl w:val="0"/>
          <w:numId w:val="2"/>
        </w:numPr>
      </w:pPr>
      <w:r>
        <w:t xml:space="preserve">glasvezelversterkte kunststof</w:t>
      </w:r>
    </w:p>
    <w:p>
      <w:r>
        <w:t xml:space="preserve">Toepassingsvoorbeelden:</w:t>
      </w:r>
    </w:p>
    <w:p>
      <w:pPr>
        <w:pStyle w:val="ListParagraph"/>
        <w:spacing w:after="0"/>
        <w:ind w:left="0" w:hanging="357"/>
        <w:numPr>
          <w:ilvl w:val="0"/>
          <w:numId w:val="3"/>
        </w:numPr>
      </w:pPr>
      <w:r>
        <w:t xml:space="preserve">verzinkte delen</w:t>
      </w:r>
    </w:p>
    <w:p>
      <w:pPr>
        <w:pStyle w:val="ListParagraph"/>
        <w:spacing w:after="0"/>
        <w:ind w:left="0" w:hanging="357"/>
        <w:numPr>
          <w:ilvl w:val="0"/>
          <w:numId w:val="3"/>
        </w:numPr>
      </w:pPr>
      <w:r>
        <w:t xml:space="preserve">lasnaden</w:t>
      </w:r>
    </w:p>
    <w:p>
      <w:pPr>
        <w:pStyle w:val="ListParagraph"/>
        <w:spacing w:after="0"/>
        <w:ind w:left="0" w:hanging="357"/>
        <w:numPr>
          <w:ilvl w:val="0"/>
          <w:numId w:val="3"/>
        </w:numPr>
      </w:pPr>
      <w:r>
        <w:t xml:space="preserve">afbramen</w:t>
      </w:r>
    </w:p>
    <w:p>
      <w:pPr>
        <w:pStyle w:val="ListParagraph"/>
        <w:spacing w:after="0"/>
        <w:ind w:left="0" w:hanging="357"/>
        <w:numPr>
          <w:ilvl w:val="0"/>
          <w:numId w:val="3"/>
        </w:numPr>
      </w:pPr>
      <w:r>
        <w:t xml:space="preserve">egaliseren</w:t>
      </w:r>
    </w:p>
    <w:p>
      <w:pPr>
        <w:pStyle w:val="ListParagraph"/>
        <w:spacing w:after="0"/>
        <w:ind w:left="0" w:hanging="357"/>
        <w:numPr>
          <w:ilvl w:val="0"/>
          <w:numId w:val="3"/>
        </w:numPr>
      </w:pPr>
      <w:r>
        <w:t xml:space="preserve">ontroesten</w:t>
      </w:r>
    </w:p>
    <w:p>
      <w:pPr>
        <w:pStyle w:val="ListParagraph"/>
        <w:spacing w:after="0"/>
        <w:ind w:left="0" w:hanging="357"/>
        <w:numPr>
          <w:ilvl w:val="0"/>
          <w:numId w:val="3"/>
        </w:numPr>
      </w:pPr>
      <w:r>
        <w:t xml:space="preserve">oppervlaktebewerking</w:t>
      </w:r>
    </w:p>
    <w:p>
      <w:pPr>
        <w:pStyle w:val="ListParagraph"/>
        <w:spacing w:after="0"/>
        <w:ind w:left="0" w:hanging="357"/>
        <w:numPr>
          <w:ilvl w:val="0"/>
          <w:numId w:val="3"/>
        </w:numPr>
      </w:pPr>
      <w:r>
        <w:t xml:space="preserve">hoek- en kantslijpen</w:t>
      </w:r>
    </w:p>
    <w:p>
      <w:pPr>
        <w:pStyle w:val="ListParagraph"/>
        <w:spacing w:after="0"/>
        <w:ind w:left="0" w:hanging="357"/>
        <w:numPr>
          <w:ilvl w:val="0"/>
          <w:numId w:val="3"/>
        </w:numPr>
      </w:pPr>
      <w:r>
        <w:t xml:space="preserve">reinigen</w:t>
      </w:r>
    </w:p>
    <w:tbl>
      <w:tblPr>
        <w:tblBorders>
          <w:top w:val="single"/>
          <w:left w:val="single"/>
          <w:right w:val="single"/>
          <w:bottom w:val="single"/>
          <w:insideH w:val="single"/>
          <w:insideV w:val="single"/>
        </w:tblBorders>
        <w:tblW w:w="5000" w:type="pct"/>
        <w:tblCellSpacing w:w="0" w:type="dxa"/>
      </w:tblPr>
      <w:tblGrid>
        <w:gridCol/>
      </w:tblGrid>
      <w:tr>
        <w:tc>
          <w:tcPr>
            <w:gridSpan w:val="5"/>
            <w:rStyle w:val="Koptekst"/>
            <w:rStyle w:val="Koptekst"/>
          </w:tcPr>
          <w:p>
            <w:r>
              <w:rPr>
                <w:rStyle w:val="Koptekst"/>
              </w:rPr>
              <w:t xml:space="preserve">LSZ F VISION   </w:t>
            </w:r>
          </w:p>
        </w:tc>
      </w:tr>
      <w:tr>
        <w:tc>
          <w:tcPr>
            <w:rStyle w:val="Koptekst"/>
            <w:rStyle w:val="Koptekst"/>
          </w:tcPr>
          <w:p/>
        </w:tc>
        <w:tc>
          <w:tcPr>
            <w:rStyle w:val="Koptekst"/>
            <w:rStyle w:val="Koptekst"/>
          </w:tcPr>
          <w:p/>
        </w:tc>
        <w:tc>
          <w:tcPr>
            <w:rStyle w:val="Koptekst"/>
            <w:rStyle w:val="Koptekst"/>
          </w:tcPr>
          <w:p/>
        </w:tc>
        <w:tc>
          <w:tcPr>
            <w:rStyle w:val="Koptekst"/>
            <w:rStyle w:val="Koptekst"/>
          </w:tcPr>
          <w:p/>
        </w:tc>
        <w:tc>
          <w:tcPr>
            <w:rStyle w:val="Koptekst"/>
            <w:rStyle w:val="Koptekst"/>
          </w:tcPr>
          <w:p/>
        </w:tc>
      </w:tr>
      <w:tr>
        <w:tc>
          <w:tcPr/>
          <w:p>
            <w:r>
              <w:t xml:space="preserve">115 x 22.23</w:t>
            </w:r>
          </w:p>
        </w:tc>
        <w:tc>
          <w:tcPr/>
          <w:p>
            <w:r>
              <w:t xml:space="preserve">13285</w:t>
            </w:r>
          </w:p>
        </w:tc>
        <w:tc>
          <w:tcPr/>
          <w:p>
            <w:r>
              <w:t xml:space="preserve">40</w:t>
            </w:r>
          </w:p>
        </w:tc>
        <w:tc>
          <w:tcPr/>
          <w:p>
            <w:r>
              <w:t xml:space="preserve">10</w:t>
            </w:r>
          </w:p>
        </w:tc>
        <w:tc>
          <w:tcPr/>
          <w:p>
            <w:r>
              <w:t xml:space="preserve">207083</w:t>
            </w:r>
          </w:p>
        </w:tc>
      </w:tr>
      <w:tr>
        <w:tc>
          <w:tcPr/>
          <w:p>
            <w:r>
              <w:t xml:space="preserve">115 x 22.23</w:t>
            </w:r>
          </w:p>
        </w:tc>
        <w:tc>
          <w:tcPr/>
          <w:p>
            <w:r>
              <w:t xml:space="preserve">13285</w:t>
            </w:r>
          </w:p>
        </w:tc>
        <w:tc>
          <w:tcPr/>
          <w:p>
            <w:r>
              <w:t xml:space="preserve">60</w:t>
            </w:r>
          </w:p>
        </w:tc>
        <w:tc>
          <w:tcPr/>
          <w:p>
            <w:r>
              <w:t xml:space="preserve">10</w:t>
            </w:r>
          </w:p>
        </w:tc>
        <w:tc>
          <w:tcPr/>
          <w:p>
            <w:r>
              <w:t xml:space="preserve">207084</w:t>
            </w:r>
          </w:p>
        </w:tc>
      </w:tr>
      <w:tr>
        <w:tc>
          <w:tcPr/>
          <w:p>
            <w:r>
              <w:t xml:space="preserve">115 x 22.23</w:t>
            </w:r>
          </w:p>
        </w:tc>
        <w:tc>
          <w:tcPr/>
          <w:p>
            <w:r>
              <w:t xml:space="preserve">13285</w:t>
            </w:r>
          </w:p>
        </w:tc>
        <w:tc>
          <w:tcPr/>
          <w:p>
            <w:r>
              <w:t xml:space="preserve">80</w:t>
            </w:r>
          </w:p>
        </w:tc>
        <w:tc>
          <w:tcPr/>
          <w:p>
            <w:r>
              <w:t xml:space="preserve">10</w:t>
            </w:r>
          </w:p>
        </w:tc>
        <w:tc>
          <w:tcPr/>
          <w:p>
            <w:r>
              <w:t xml:space="preserve">207085</w:t>
            </w:r>
          </w:p>
        </w:tc>
      </w:tr>
      <w:tr>
        <w:tc>
          <w:tcPr/>
          <w:p>
            <w:r>
              <w:t xml:space="preserve">125 x 22.23</w:t>
            </w:r>
          </w:p>
        </w:tc>
        <w:tc>
          <w:tcPr/>
          <w:p>
            <w:r>
              <w:t xml:space="preserve">12200</w:t>
            </w:r>
          </w:p>
        </w:tc>
        <w:tc>
          <w:tcPr/>
          <w:p>
            <w:r>
              <w:t xml:space="preserve">40</w:t>
            </w:r>
          </w:p>
        </w:tc>
        <w:tc>
          <w:tcPr/>
          <w:p>
            <w:r>
              <w:t xml:space="preserve">10</w:t>
            </w:r>
          </w:p>
        </w:tc>
        <w:tc>
          <w:tcPr/>
          <w:p>
            <w:r>
              <w:t xml:space="preserve">207077</w:t>
            </w:r>
          </w:p>
        </w:tc>
      </w:tr>
      <w:tr>
        <w:tc>
          <w:tcPr/>
          <w:p>
            <w:r>
              <w:t xml:space="preserve">125 x 22.23</w:t>
            </w:r>
          </w:p>
        </w:tc>
        <w:tc>
          <w:tcPr/>
          <w:p>
            <w:r>
              <w:t xml:space="preserve">12200</w:t>
            </w:r>
          </w:p>
        </w:tc>
        <w:tc>
          <w:tcPr/>
          <w:p>
            <w:r>
              <w:t xml:space="preserve">60</w:t>
            </w:r>
          </w:p>
        </w:tc>
        <w:tc>
          <w:tcPr/>
          <w:p>
            <w:r>
              <w:t xml:space="preserve">10</w:t>
            </w:r>
          </w:p>
        </w:tc>
        <w:tc>
          <w:tcPr/>
          <w:p>
            <w:r>
              <w:t xml:space="preserve">207078</w:t>
            </w:r>
          </w:p>
        </w:tc>
      </w:tr>
      <w:tr>
        <w:tc>
          <w:tcPr/>
          <w:p>
            <w:r>
              <w:t xml:space="preserve">125 x 22.23</w:t>
            </w:r>
          </w:p>
        </w:tc>
        <w:tc>
          <w:tcPr/>
          <w:p>
            <w:r>
              <w:t xml:space="preserve">12200</w:t>
            </w:r>
          </w:p>
        </w:tc>
        <w:tc>
          <w:tcPr/>
          <w:p>
            <w:r>
              <w:t xml:space="preserve">80</w:t>
            </w:r>
          </w:p>
        </w:tc>
        <w:tc>
          <w:tcPr/>
          <w:p>
            <w:r>
              <w:t xml:space="preserve">10</w:t>
            </w:r>
          </w:p>
        </w:tc>
        <w:tc>
          <w:tcPr/>
          <w:p>
            <w:r>
              <w:t xml:space="preserve">207079</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71adccc5bd844c9" /><Relationship Type="http://schemas.openxmlformats.org/officeDocument/2006/relationships/numbering" Target="/word/numbering.xml" Id="Ra3c46e7035994d0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