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VSK Vision</w:t>
      </w:r>
    </w:p>
    <w:p>
      <w:r>
        <w:drawing>
          <wp:inline distT="0" distB="0" distL="0" distR="0">
            <wp:extent cx="3009900" cy="2952750"/>
            <wp:effectExtent l="19050" t="0" r="0" b="0"/>
            <wp:docPr id="5" name="/ImageGen.ashx?image=/media/191022/vsk-vision.jpg&amp;Height=310&amp;Text=&amp;Align=center&amp;FontSize=7" descr=""/>
            <wp:cNvGraphicFramePr>
              <a:graphicFrameLocks noChangeAspect="1"/>
            </wp:cNvGraphicFramePr>
            <a:graphic>
              <a:graphicData uri="http://schemas.openxmlformats.org/drawingml/2006/picture">
                <pic:pic>
                  <pic:nvPicPr>
                    <pic:cNvPr id="2" name="/ImageGen.ashx?image=/media/191022/vsk-vision.jpg&amp;Height=310&amp;Text=&amp;Align=center&amp;FontSize=7" descr=""/>
                    <pic:cNvPicPr>
                      <a:picLocks noChangeAspect="1" noChangeArrowheads="1"/>
                    </pic:cNvPicPr>
                  </pic:nvPicPr>
                  <pic:blipFill>
                    <a:blip r:embed="R88de130ed6a14459"/>
                    <a:srcRect/>
                    <a:stretch>
                      <a:fillRect/>
                    </a:stretch>
                  </pic:blipFill>
                  <pic:spPr bwMode="auto">
                    <a:xfrm>
                      <a:off x="0" y="0"/>
                      <a:ext cx="3009900" cy="2952750"/>
                    </a:xfrm>
                    <a:prstGeom prst="rect">
                      <a:avLst/>
                    </a:prstGeom>
                  </pic:spPr>
                </pic:pic>
              </a:graphicData>
            </a:graphic>
          </wp:inline>
        </w:drawing>
      </w:r>
    </w:p>
    <w:p>
      <w:r>
        <w:t xml:space="preserve">Door de unieke combinatie van twee bijzondere producteigenschappen biedt de VSK VISION duidelijke voordelen bij het afwerken van RVS oppervlakken. Aan de ene kant wordt schuurlinnen en schuurvlies afwisselend op één schijf gecombineerd. Op deze manier wordt een decoratieve afwerking van het oppervlak bereikt (schuurvlies) bij gelijktijdige materiaalafname (schuurlinnen) en wordt een arbeidsgang bespaard. Aan de andere kant wordt de VSK VISION tijdens het werken transparant. Hierdoor is permanente visuele controle mogelijk en ontstaat tegelijkertijd een koeleffect.</w:t>
      </w:r>
    </w:p>
    <w:p>
      <w:r>
        <w:t xml:space="preserve">Optimaal toerental: 3.000-3.500 RPM</w:t>
      </w:r>
    </w:p>
    <w:p>
      <w:r>
        <w:t xml:space="preserve">Materiaal:</w:t>
      </w:r>
    </w:p>
    <w:p>
      <w:pPr>
        <w:pStyle w:val="ListParagraph"/>
        <w:spacing w:after="0"/>
        <w:ind w:left="0" w:hanging="357"/>
        <w:numPr>
          <w:ilvl w:val="0"/>
          <w:numId w:val="2"/>
        </w:numPr>
      </w:pPr>
      <w:r>
        <w:t xml:space="preserve">roest- en zuurbestendige staalsoorten</w:t>
      </w:r>
    </w:p>
    <w:p>
      <w:pPr>
        <w:pStyle w:val="ListParagraph"/>
        <w:spacing w:after="0"/>
        <w:ind w:left="0" w:hanging="357"/>
        <w:numPr>
          <w:ilvl w:val="0"/>
          <w:numId w:val="2"/>
        </w:numPr>
      </w:pPr>
      <w:r>
        <w:t xml:space="preserve">trekvast / hooggelegeerde staalsoorten</w:t>
      </w:r>
    </w:p>
    <w:p>
      <w:pPr>
        <w:pStyle w:val="ListParagraph"/>
        <w:spacing w:after="0"/>
        <w:ind w:left="0" w:hanging="357"/>
        <w:numPr>
          <w:ilvl w:val="0"/>
          <w:numId w:val="2"/>
        </w:numPr>
      </w:pPr>
      <w:r>
        <w:t xml:space="preserve">bouwstaal</w:t>
      </w:r>
    </w:p>
    <w:p>
      <w:pPr>
        <w:pStyle w:val="ListParagraph"/>
        <w:spacing w:after="0"/>
        <w:ind w:left="0" w:hanging="357"/>
        <w:numPr>
          <w:ilvl w:val="0"/>
          <w:numId w:val="2"/>
        </w:numPr>
      </w:pPr>
      <w:r>
        <w:t xml:space="preserve">gereedschapstaal</w:t>
      </w:r>
    </w:p>
    <w:p>
      <w:pPr>
        <w:pStyle w:val="ListParagraph"/>
        <w:spacing w:after="0"/>
        <w:ind w:left="0" w:hanging="357"/>
        <w:numPr>
          <w:ilvl w:val="0"/>
          <w:numId w:val="2"/>
        </w:numPr>
      </w:pPr>
      <w:r>
        <w:t xml:space="preserve">non-ferrometalen</w:t>
      </w:r>
    </w:p>
    <w:p>
      <w:pPr>
        <w:pStyle w:val="ListParagraph"/>
        <w:spacing w:after="0"/>
        <w:ind w:left="0" w:hanging="357"/>
        <w:numPr>
          <w:ilvl w:val="0"/>
          <w:numId w:val="2"/>
        </w:numPr>
      </w:pPr>
      <w:r>
        <w:t xml:space="preserve">hout, lak, plamuur</w:t>
      </w:r>
    </w:p>
    <w:p>
      <w:pPr>
        <w:pStyle w:val="ListParagraph"/>
        <w:spacing w:after="0"/>
        <w:ind w:left="0" w:hanging="357"/>
        <w:numPr>
          <w:ilvl w:val="0"/>
          <w:numId w:val="2"/>
        </w:numPr>
      </w:pPr>
      <w:r>
        <w:t xml:space="preserve">kunststoffen</w:t>
      </w:r>
    </w:p>
    <w:p>
      <w:pPr>
        <w:pStyle w:val="ListParagraph"/>
        <w:spacing w:after="0"/>
        <w:ind w:left="0" w:hanging="357"/>
        <w:numPr>
          <w:ilvl w:val="0"/>
          <w:numId w:val="2"/>
        </w:numPr>
      </w:pPr>
      <w:r>
        <w:t xml:space="preserve">glasvezelversterkte kunststof</w:t>
      </w:r>
    </w:p>
    <w:p>
      <w:pPr>
        <w:pStyle w:val="ListParagraph"/>
        <w:spacing w:after="0"/>
        <w:ind w:left="0" w:hanging="357"/>
        <w:numPr>
          <w:ilvl w:val="0"/>
          <w:numId w:val="2"/>
        </w:numPr>
      </w:pPr>
      <w:r>
        <w:t xml:space="preserve">carbonvezelversterkte kunststof</w:t>
      </w:r>
    </w:p>
    <w:p>
      <w:r>
        <w:t xml:space="preserve">Toepassingsvoorbeelden:</w:t>
      </w:r>
    </w:p>
    <w:p>
      <w:pPr>
        <w:pStyle w:val="ListParagraph"/>
        <w:spacing w:after="0"/>
        <w:ind w:left="0" w:hanging="357"/>
        <w:numPr>
          <w:ilvl w:val="0"/>
          <w:numId w:val="3"/>
        </w:numPr>
      </w:pPr>
      <w:r>
        <w:t xml:space="preserve">voorpolijsten</w:t>
      </w:r>
    </w:p>
    <w:p>
      <w:pPr>
        <w:pStyle w:val="ListParagraph"/>
        <w:spacing w:after="0"/>
        <w:ind w:left="0" w:hanging="357"/>
        <w:numPr>
          <w:ilvl w:val="0"/>
          <w:numId w:val="3"/>
        </w:numPr>
      </w:pPr>
      <w:r>
        <w:t xml:space="preserve">decoratieve oppervlakafwerking</w:t>
      </w:r>
    </w:p>
    <w:p>
      <w:pPr>
        <w:pStyle w:val="ListParagraph"/>
        <w:spacing w:after="0"/>
        <w:ind w:left="0" w:hanging="357"/>
        <w:numPr>
          <w:ilvl w:val="0"/>
          <w:numId w:val="3"/>
        </w:numPr>
      </w:pPr>
      <w:r>
        <w:t xml:space="preserve">lasnaden</w:t>
      </w:r>
    </w:p>
    <w:p>
      <w:pPr>
        <w:pStyle w:val="ListParagraph"/>
        <w:spacing w:after="0"/>
        <w:ind w:left="0" w:hanging="357"/>
        <w:numPr>
          <w:ilvl w:val="0"/>
          <w:numId w:val="3"/>
        </w:numPr>
      </w:pPr>
      <w:r>
        <w:t xml:space="preserve">afbramen</w:t>
      </w:r>
    </w:p>
    <w:p>
      <w:pPr>
        <w:pStyle w:val="ListParagraph"/>
        <w:spacing w:after="0"/>
        <w:ind w:left="0" w:hanging="357"/>
        <w:numPr>
          <w:ilvl w:val="0"/>
          <w:numId w:val="3"/>
        </w:numPr>
      </w:pPr>
      <w:r>
        <w:t xml:space="preserve">egaliseren</w:t>
      </w:r>
    </w:p>
    <w:p>
      <w:pPr>
        <w:pStyle w:val="ListParagraph"/>
        <w:spacing w:after="0"/>
        <w:ind w:left="0" w:hanging="357"/>
        <w:numPr>
          <w:ilvl w:val="0"/>
          <w:numId w:val="3"/>
        </w:numPr>
      </w:pPr>
      <w:r>
        <w:t xml:space="preserve">ontroesten</w:t>
      </w:r>
    </w:p>
    <w:p>
      <w:pPr>
        <w:pStyle w:val="ListParagraph"/>
        <w:spacing w:after="0"/>
        <w:ind w:left="0" w:hanging="357"/>
        <w:numPr>
          <w:ilvl w:val="0"/>
          <w:numId w:val="3"/>
        </w:numPr>
      </w:pPr>
      <w:r>
        <w:t xml:space="preserve">oppervlakbewerking</w:t>
      </w:r>
    </w:p>
    <w:p>
      <w:pPr>
        <w:pStyle w:val="ListParagraph"/>
        <w:spacing w:after="0"/>
        <w:ind w:left="0" w:hanging="357"/>
        <w:numPr>
          <w:ilvl w:val="0"/>
          <w:numId w:val="3"/>
        </w:numPr>
      </w:pPr>
      <w:r>
        <w:t xml:space="preserve">hoek- en kantslijpen</w:t>
      </w:r>
    </w:p>
    <w:p>
      <w:pPr>
        <w:pStyle w:val="ListParagraph"/>
        <w:spacing w:after="0"/>
        <w:ind w:left="0" w:hanging="357"/>
        <w:numPr>
          <w:ilvl w:val="0"/>
          <w:numId w:val="3"/>
        </w:numPr>
      </w:pPr>
      <w:r>
        <w:t xml:space="preserve">reinigen</w:t>
      </w:r>
    </w:p>
    <w:tbl>
      <w:tblPr>
        <w:tblBorders>
          <w:top w:val="single"/>
          <w:left w:val="single"/>
          <w:right w:val="single"/>
          <w:bottom w:val="single"/>
          <w:insideH w:val="single"/>
          <w:insideV w:val="single"/>
        </w:tblBorders>
        <w:tblW w:w="5000" w:type="pct"/>
        <w:tblCellSpacing w:w="0" w:type="dxa"/>
      </w:tblPr>
      <w:tblGrid>
        <w:gridCol/>
      </w:tblGrid>
      <w:tr>
        <w:tc>
          <w:tcPr>
            <w:gridSpan w:val="5"/>
            <w:rStyle w:val="Koptekst"/>
            <w:rStyle w:val="Koptekst"/>
          </w:tcPr>
          <w:p>
            <w:r>
              <w:rPr>
                <w:rStyle w:val="Koptekst"/>
              </w:rPr>
              <w:t xml:space="preserve">VSK VISION   </w:t>
            </w:r>
          </w:p>
        </w:tc>
      </w:tr>
      <w:tr>
        <w:tc>
          <w:tcPr>
            <w:rStyle w:val="Koptekst"/>
            <w:rStyle w:val="Koptekst"/>
          </w:tcPr>
          <w:p/>
        </w:tc>
        <w:tc>
          <w:tcPr>
            <w:rStyle w:val="Koptekst"/>
            <w:rStyle w:val="Koptekst"/>
          </w:tcPr>
          <w:p/>
        </w:tc>
        <w:tc>
          <w:tcPr>
            <w:rStyle w:val="Koptekst"/>
            <w:rStyle w:val="Koptekst"/>
          </w:tcPr>
          <w:p/>
        </w:tc>
        <w:tc>
          <w:tcPr>
            <w:rStyle w:val="Koptekst"/>
            <w:rStyle w:val="Koptekst"/>
          </w:tcPr>
          <w:p/>
        </w:tc>
        <w:tc>
          <w:tcPr>
            <w:rStyle w:val="Koptekst"/>
            <w:rStyle w:val="Koptekst"/>
          </w:tcPr>
          <w:p/>
        </w:tc>
      </w:tr>
      <w:tr>
        <w:tc>
          <w:tcPr/>
          <w:p>
            <w:r>
              <w:t xml:space="preserve">115 x 22.23</w:t>
            </w:r>
          </w:p>
        </w:tc>
        <w:tc>
          <w:tcPr/>
          <w:p>
            <w:r>
              <w:t xml:space="preserve">8300</w:t>
            </w:r>
          </w:p>
        </w:tc>
        <w:tc>
          <w:tcPr/>
          <w:p>
            <w:r>
              <w:t xml:space="preserve"> </w:t>
            </w:r>
          </w:p>
        </w:tc>
        <w:tc>
          <w:tcPr/>
          <w:p>
            <w:r>
              <w:t xml:space="preserve">10</w:t>
            </w:r>
          </w:p>
        </w:tc>
        <w:tc>
          <w:tcPr/>
          <w:p>
            <w:r>
              <w:t xml:space="preserve">209503</w:t>
            </w:r>
          </w:p>
        </w:tc>
      </w:tr>
      <w:tr>
        <w:tc>
          <w:tcPr/>
          <w:p>
            <w:r>
              <w:t xml:space="preserve">125 x 22.23</w:t>
            </w:r>
          </w:p>
        </w:tc>
        <w:tc>
          <w:tcPr/>
          <w:p>
            <w:r>
              <w:t xml:space="preserve">7640</w:t>
            </w:r>
          </w:p>
        </w:tc>
        <w:tc>
          <w:tcPr/>
          <w:p>
            <w:r>
              <w:t xml:space="preserve"> </w:t>
            </w:r>
          </w:p>
        </w:tc>
        <w:tc>
          <w:tcPr/>
          <w:p>
            <w:r>
              <w:t xml:space="preserve">10</w:t>
            </w:r>
          </w:p>
        </w:tc>
        <w:tc>
          <w:tcPr/>
          <w:p>
            <w:r>
              <w:t xml:space="preserve">209504</w:t>
            </w:r>
          </w:p>
        </w:tc>
      </w:tr>
    </w:tbl>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1"/>
    <w:lvlOverride>
      <w:startOverride w:val="1"/>
    </w:lvlOverride>
  </w:num>
  <w:num w:numId="3">
    <w:abstractNumId w:val="1"/>
    <w:lvlOverride>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88de130ed6a14459" /><Relationship Type="http://schemas.openxmlformats.org/officeDocument/2006/relationships/numbering" Target="/word/numbering.xml" Id="Rcd7a40e1bd20491b"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