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KF160</w:t>
      </w:r>
    </w:p>
    <w:p>
      <w:r>
        <w:drawing>
          <wp:inline distT="0" distB="0" distL="0" distR="0">
            <wp:extent cx="1504950" cy="2952750"/>
            <wp:effectExtent l="19050" t="0" r="0" b="0"/>
            <wp:docPr id="5" name="/ImageGen.ashx?image=/media/397305/kf160-nieuw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05/kf160-nieuw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cc21630ea734ed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Professioneel boorstatief, met klein formaat en licht gewicht!</w:t>
      </w:r>
      <w:r>
        <w:br/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Type</w:t>
            </w:r>
          </w:p>
        </w:tc>
        <w:tc>
          <w:tcPr/>
          <w:p>
            <w:r>
              <w:t xml:space="preserve">KF160</w:t>
            </w:r>
          </w:p>
        </w:tc>
      </w:tr>
      <w:tr>
        <w:tc>
          <w:tcPr/>
          <w:p>
            <w:r>
              <w:t xml:space="preserve">Boorbereik   </w:t>
            </w:r>
          </w:p>
        </w:tc>
        <w:tc>
          <w:tcPr/>
          <w:p>
            <w:r>
              <w:t xml:space="preserve">10-160 mm</w:t>
            </w:r>
          </w:p>
        </w:tc>
      </w:tr>
      <w:tr>
        <w:tc>
          <w:tcPr/>
          <w:p>
            <w:r>
              <w:t xml:space="preserve">Nuttige slag</w:t>
            </w:r>
          </w:p>
        </w:tc>
        <w:tc>
          <w:tcPr/>
          <w:p>
            <w:r>
              <w:t xml:space="preserve">520 mm</w:t>
            </w:r>
          </w:p>
        </w:tc>
      </w:tr>
      <w:tr>
        <w:tc>
          <w:tcPr/>
          <w:p>
            <w:r>
              <w:t xml:space="preserve">Lengte kolom</w:t>
            </w:r>
          </w:p>
        </w:tc>
        <w:tc>
          <w:tcPr/>
          <w:p>
            <w:r>
              <w:t xml:space="preserve">700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11,5 kg</w:t>
            </w:r>
          </w:p>
        </w:tc>
      </w:tr>
      <w:tr>
        <w:tc>
          <w:tcPr/>
          <w:p>
            <w:r>
              <w:t xml:space="preserve">Afmetingen LxBxH</w:t>
            </w:r>
          </w:p>
        </w:tc>
        <w:tc>
          <w:tcPr/>
          <w:p>
            <w:r>
              <w:t xml:space="preserve">250x180x800</w:t>
            </w:r>
          </w:p>
        </w:tc>
      </w:tr>
      <w:tr>
        <w:tc>
          <w:tcPr/>
          <w:p>
            <w:r>
              <w:t xml:space="preserve">Motorvermogen max.  </w:t>
            </w:r>
          </w:p>
        </w:tc>
        <w:tc>
          <w:tcPr/>
          <w:p>
            <w:r>
              <w:t xml:space="preserve">2,3 KW</w:t>
            </w:r>
          </w:p>
        </w:tc>
      </w:tr>
      <w:tr>
        <w:tc>
          <w:tcPr/>
          <w:p>
            <w:r>
              <w:t xml:space="preserve">Verankering</w:t>
            </w:r>
          </w:p>
        </w:tc>
        <w:tc>
          <w:tcPr/>
          <w:p>
            <w:r>
              <w:t xml:space="preserve">M12</w:t>
            </w:r>
          </w:p>
        </w:tc>
      </w:tr>
    </w:tbl>
    <w:p>
      <w:r>
        <w:drawing>
          <wp:inline distT="0" distB="0" distL="0" distR="0">
            <wp:extent cx="2105025" cy="3086100"/>
            <wp:effectExtent l="19050" t="0" r="0" b="0"/>
            <wp:docPr id="6" name="/media/263585/kf160-detail_221x324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63585/kf160-detail_221x324.jpg" descr="KF160 Detail"/>
                    <pic:cNvPicPr>
                      <a:picLocks noChangeAspect="1" noChangeArrowheads="1"/>
                    </pic:cNvPicPr>
                  </pic:nvPicPr>
                  <pic:blipFill>
                    <a:blip r:embed="R6e99d31b999e45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ccc21630ea734edc" /><Relationship Type="http://schemas.openxmlformats.org/officeDocument/2006/relationships/image" Target="/media/image3.jpg" Id="R6e99d31b999e450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