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Smalle voetplaat KF250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267/kf250-smalle-voetplaat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267/kf250-smalle-voetplaat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2bb3bf7984ab40e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Voor speciale situaties is een extra smalle RVS voetplaat ontwikkeld, t.b.v. het KF250 boorstatief.</w:t>
      </w:r>
      <w:r>
        <w:br/>
      </w:r>
      <w:r>
        <w:t xml:space="preserve">Deze speciale voetplaat maakt het mogelijk het KF250 statief in te zetten op plaatsen met geringe ruimte, bijvoorbeeld door leidingen of andere obstakels.</w:t>
      </w:r>
    </w:p>
    <w:tbl>
      <w:tblPr>
        <w:tblW w:w="auto" w:type="pct"/>
      </w:tblPr>
      <w:tblGrid>
        <w:gridCol/>
        <w:gridCol/>
        <w:gridCol/>
      </w:tblGrid>
      <w:tr>
        <w:tc>
          <w:tcPr/>
          <w:p>
            <w:r>
              <w:t xml:space="preserve">Positie    </w:t>
            </w:r>
          </w:p>
        </w:tc>
        <w:tc>
          <w:tcPr/>
          <w:p>
            <w:r>
              <w:t xml:space="preserve">Art.nr.</w:t>
            </w:r>
          </w:p>
        </w:tc>
        <w:tc>
          <w:tcPr/>
          <w:p>
            <w:r>
              <w:t xml:space="preserve">Stuks</w:t>
            </w:r>
          </w:p>
        </w:tc>
      </w:tr>
      <w:tr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15040STSCHK    </w:t>
            </w:r>
          </w:p>
        </w:tc>
        <w:tc>
          <w:tcPr/>
          <w:p>
            <w:r>
              <w:t xml:space="preserve">(voetplaat compleet)</w:t>
            </w:r>
          </w:p>
        </w:tc>
      </w:tr>
      <w:tr>
        <w:tc>
          <w:tcPr/>
          <w:p>
            <w:r>
              <w:t xml:space="preserve">1</w:t>
            </w:r>
          </w:p>
        </w:tc>
        <w:tc>
          <w:tcPr/>
          <w:p>
            <w:r>
              <w:t xml:space="preserve">15041STSCH</w:t>
            </w:r>
          </w:p>
        </w:tc>
        <w:tc>
          <w:tcPr/>
          <w:p>
            <w:r>
              <w:t xml:space="preserve">1</w:t>
            </w:r>
          </w:p>
        </w:tc>
      </w:tr>
      <w:tr>
        <w:tc>
          <w:tcPr/>
          <w:p>
            <w:r>
              <w:t xml:space="preserve">2</w:t>
            </w:r>
          </w:p>
        </w:tc>
        <w:tc>
          <w:tcPr/>
          <w:p>
            <w:r>
              <w:t xml:space="preserve">15042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3</w:t>
            </w:r>
          </w:p>
        </w:tc>
        <w:tc>
          <w:tcPr/>
          <w:p>
            <w:r>
              <w:t xml:space="preserve">15035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4</w:t>
            </w:r>
          </w:p>
        </w:tc>
        <w:tc>
          <w:tcPr/>
          <w:p>
            <w:r>
              <w:t xml:space="preserve">25036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5</w:t>
            </w:r>
          </w:p>
        </w:tc>
        <w:tc>
          <w:tcPr/>
          <w:p>
            <w:r>
              <w:t xml:space="preserve">15057/15053</w:t>
            </w:r>
          </w:p>
        </w:tc>
        <w:tc>
          <w:tcPr/>
          <w:p>
            <w:r>
              <w:t xml:space="preserve">4</w:t>
            </w:r>
          </w:p>
        </w:tc>
      </w:tr>
      <w:tr>
        <w:tc>
          <w:tcPr/>
          <w:p>
            <w:r>
              <w:t xml:space="preserve">6</w:t>
            </w:r>
          </w:p>
        </w:tc>
        <w:tc>
          <w:tcPr/>
          <w:p>
            <w:r>
              <w:t xml:space="preserve">15055</w:t>
            </w:r>
          </w:p>
        </w:tc>
        <w:tc>
          <w:tcPr/>
          <w:p>
            <w:r>
              <w:t xml:space="preserve">4</w:t>
            </w:r>
          </w:p>
        </w:tc>
      </w:tr>
    </w:tbl>
    <w:p>
      <w:r>
        <w:drawing>
          <wp:inline distT="0" distB="0" distL="0" distR="0">
            <wp:extent cx="3810000" cy="3000375"/>
            <wp:effectExtent l="19050" t="0" r="0" b="0"/>
            <wp:docPr id="6" name="/media/143268/kf250-smalle-voetplaat-onderdelen_299x236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143268/kf250-smalle-voetplaat-onderdelen_299x236.jpg" descr="KF250 Smalle Voetplaat Onderdelen"/>
                    <pic:cNvPicPr>
                      <a:picLocks noChangeAspect="1" noChangeArrowheads="1"/>
                    </pic:cNvPicPr>
                  </pic:nvPicPr>
                  <pic:blipFill>
                    <a:blip r:embed="R274fc111effd4b8c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000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2bb3bf7984ab40e0" /><Relationship Type="http://schemas.openxmlformats.org/officeDocument/2006/relationships/image" Target="/media/image4.jpg" Id="R274fc111effd4b8c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