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Duster Expert</w:t>
      </w:r>
    </w:p>
    <w:p>
      <w:r>
        <w:drawing>
          <wp:inline distT="0" distB="0" distL="0" distR="0">
            <wp:extent cx="10420350" cy="2952750"/>
            <wp:effectExtent l="19050" t="0" r="0" b="0"/>
            <wp:docPr id="5" name="/ImageGen.ashx?image=/media/479251/dust-exper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1/dust-exper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fe3d0513ce4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Beter stofvrij boren! De Duster Expert afzuigboor maakt stofvrij boren mogelijk met inachtneming van de gangbare, verschepte normen voor de bescherming van de gezondheid (bijv. TRGS 900). 98% van het boorstof wordt al bij het ontstaan bij de boorkop afgevoerd. Hiermee is de Duster Expert ook optimaal geschikt voor toepassingen binnenshuis. Positief neveneffect: optimale productiviteit bij het plaatsen van chemische ankers omdat het boorgat niet meer hoeft te worden gereinigd. Deze boor is beschikbaar met SDS-plus en SDS-max opname.</w:t>
      </w:r>
    </w:p>
    <w:p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Duster Expert combineert boren en stofafzuigen in één stap bij alle betonwerkzaamheden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98% van het boorstof al bij het ontstaan bij de boorkop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design van boorkop en schacht voor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productiviteit bij het plaatsen van chemische ankers doordat het boorgat niet hoeft te worden gereinigd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door extra grote kopopeningen en verlaagde boorweerstand door intern geleid boormeel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lastige reiniging van de omgeving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inzetbaar voor binnentoepassingen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Cellenbeton</w:t>
      </w:r>
    </w:p>
    <w:p>
      <w:r>
        <w:br/>
      </w:r>
      <w:r>
        <w:br/>
      </w:r>
      <w:r>
        <w:br/>
      </w:r>
      <w:r>
        <w:br/>
      </w:r>
    </w:p>
    <w:p>
      <w:r>
        <w:t xml:space="preserve">Metselwerk</w:t>
      </w:r>
    </w:p>
    <w:p>
      <w:r>
        <w:br/>
      </w:r>
      <w:r>
        <w:br/>
      </w:r>
      <w:r>
        <w:br/>
      </w:r>
      <w:r>
        <w:br/>
      </w:r>
    </w:p>
    <w:p>
      <w:r>
        <w:t xml:space="preserve">Klinkers</w:t>
      </w:r>
    </w:p>
    <w:p>
      <w:r>
        <w:br/>
      </w:r>
      <w:r>
        <w:br/>
      </w:r>
      <w:r>
        <w:br/>
      </w:r>
      <w:r>
        <w:br/>
      </w:r>
    </w:p>
    <w:p>
      <w:r>
        <w:t xml:space="preserve">Beton</w:t>
      </w:r>
    </w:p>
    <w:p>
      <w:r>
        <w:br/>
      </w:r>
      <w:r>
        <w:br/>
      </w:r>
      <w:r>
        <w:br/>
      </w:r>
      <w:r>
        <w:br/>
      </w:r>
    </w:p>
    <w:p>
      <w:r>
        <w:t xml:space="preserve">Gasbeton</w:t>
      </w:r>
    </w:p>
    <w:p>
      <w:r>
        <w:br/>
      </w:r>
      <w:r>
        <w:br/>
      </w:r>
      <w:r>
        <w:br/>
      </w:r>
      <w:r>
        <w:br/>
      </w:r>
    </w:p>
    <w:p>
      <w:r>
        <w:t xml:space="preserve">Graniet</w:t>
      </w:r>
    </w:p>
    <w:p>
      <w:r>
        <w:br/>
      </w:r>
      <w:r>
        <w:br/>
      </w:r>
      <w:r>
        <w:br/>
      </w:r>
      <w:r>
        <w:br/>
      </w:r>
    </w:p>
    <w:p>
      <w:r>
        <w:t xml:space="preserve">Natuursteen</w:t>
      </w:r>
    </w:p>
    <w:p>
      <w:r>
        <w:br/>
      </w:r>
      <w:r>
        <w:br/>
      </w:r>
      <w:r>
        <w:br/>
      </w:r>
      <w:r>
        <w:br/>
      </w:r>
    </w:p>
    <w:p>
      <w:r>
        <w:t xml:space="preserve">Kalkzandsteen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SDS-plus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fe3d0513ce4334" /><Relationship Type="http://schemas.openxmlformats.org/officeDocument/2006/relationships/numbering" Target="/word/numbering.xml" Id="R9bd9d84fb52348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