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Gaspatroon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39/gaspatroon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39/gaspatroon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622ce639c944ff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DutackPro gaspatroon voor aandrijving en smering van DutackPro gastackers.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gewicht</w:t>
            </w:r>
          </w:p>
        </w:tc>
        <w:tc>
          <w:tcPr>
            <w:tcW w:w="100" w:type="dxa"/>
            <w:vAlign w:val="top"/>
          </w:tcPr>
          <w:p>
            <w:r>
              <w:t xml:space="preserve">inhoud</w:t>
            </w:r>
          </w:p>
        </w:tc>
        <w:tc>
          <w:tcPr>
            <w:tcW w:w="100" w:type="dxa"/>
            <w:vAlign w:val="top"/>
          </w:tcPr>
          <w:p>
            <w:r>
              <w:t xml:space="preserve">oververpakking</w:t>
            </w:r>
          </w:p>
        </w:tc>
      </w:tr>
      <w:tr>
        <w:tc>
          <w:tcPr/>
          <w:p>
            <w:r>
              <w:t xml:space="preserve">4912100</w:t>
            </w:r>
          </w:p>
        </w:tc>
        <w:tc>
          <w:tcPr>
            <w:tcW w:w="100" w:type="dxa"/>
            <w:vAlign w:val="top"/>
          </w:tcPr>
          <w:p>
            <w:r>
              <w:t xml:space="preserve">40 gram</w:t>
            </w:r>
          </w:p>
        </w:tc>
        <w:tc>
          <w:tcPr>
            <w:tcW w:w="100" w:type="dxa"/>
            <w:vAlign w:val="top"/>
          </w:tcPr>
          <w:p>
            <w:r>
              <w:t xml:space="preserve">80 ml.</w:t>
            </w:r>
          </w:p>
        </w:tc>
        <w:tc>
          <w:tcPr>
            <w:tcW w:w="100" w:type="dxa"/>
            <w:vAlign w:val="top"/>
          </w:tcPr>
          <w:p>
            <w:r>
              <w:t xml:space="preserve">20 stuks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6622ce639c944ff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